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23AD7" w:rsidRPr="00E23AD7" w:rsidRDefault="00E23AD7" w:rsidP="00E23AD7">
      <w:pPr>
        <w:rPr>
          <w:rFonts w:cstheme="minorHAnsi"/>
          <w:b/>
          <w:bCs/>
          <w:sz w:val="22"/>
          <w:szCs w:val="22"/>
        </w:rPr>
      </w:pPr>
      <w:r w:rsidRPr="00E23AD7">
        <w:rPr>
          <w:rFonts w:cstheme="minorHAnsi"/>
          <w:b/>
          <w:bCs/>
          <w:sz w:val="22"/>
          <w:szCs w:val="22"/>
        </w:rPr>
        <w:t>Customer Due Diligence (CDD)</w:t>
      </w:r>
    </w:p>
    <w:p w:rsidR="00E23AD7" w:rsidRPr="00E23AD7" w:rsidRDefault="00E23AD7" w:rsidP="00E23AD7">
      <w:pPr>
        <w:rPr>
          <w:rFonts w:cstheme="minorHAnsi"/>
          <w:b/>
          <w:bCs/>
          <w:color w:val="4472C4" w:themeColor="accent1"/>
          <w:sz w:val="22"/>
          <w:szCs w:val="22"/>
        </w:rPr>
      </w:pPr>
      <w:r w:rsidRPr="00E23AD7">
        <w:rPr>
          <w:rFonts w:ascii="Segoe UI Emoji" w:hAnsi="Segoe UI Emoji" w:cs="Segoe UI Emoji"/>
          <w:b/>
          <w:bCs/>
          <w:sz w:val="22"/>
          <w:szCs w:val="22"/>
        </w:rPr>
        <w:t>✅</w:t>
      </w:r>
      <w:r w:rsidRPr="00E23AD7">
        <w:rPr>
          <w:rFonts w:cstheme="minorHAnsi"/>
          <w:b/>
          <w:bCs/>
          <w:color w:val="4472C4" w:themeColor="accent1"/>
          <w:sz w:val="22"/>
          <w:szCs w:val="22"/>
        </w:rPr>
        <w:t>Customer Due Diligence (CDD) Procedure as per SEBI Guidelines</w:t>
      </w:r>
    </w:p>
    <w:p w:rsidR="00E23AD7" w:rsidRPr="00E23AD7" w:rsidRDefault="00E23AD7" w:rsidP="00E23AD7">
      <w:pPr>
        <w:rPr>
          <w:rFonts w:cstheme="minorHAnsi"/>
          <w:b/>
          <w:bCs/>
          <w:sz w:val="22"/>
          <w:szCs w:val="22"/>
        </w:rPr>
      </w:pPr>
      <w:r w:rsidRPr="00E23AD7">
        <w:rPr>
          <w:rFonts w:cstheme="minorHAnsi"/>
          <w:b/>
          <w:bCs/>
          <w:sz w:val="22"/>
          <w:szCs w:val="22"/>
        </w:rPr>
        <w:t>Key Features of the SEBI CDD Procedure</w:t>
      </w:r>
    </w:p>
    <w:p w:rsidR="00E23AD7" w:rsidRPr="00E23AD7" w:rsidRDefault="00E23AD7" w:rsidP="00E23AD7">
      <w:pPr>
        <w:rPr>
          <w:rFonts w:cstheme="minorHAnsi"/>
          <w:sz w:val="22"/>
          <w:szCs w:val="22"/>
        </w:rPr>
      </w:pPr>
      <w:r w:rsidRPr="00E23AD7">
        <w:rPr>
          <w:rFonts w:ascii="Segoe UI Emoji" w:hAnsi="Segoe UI Emoji" w:cs="Segoe UI Emoji"/>
          <w:b/>
          <w:bCs/>
          <w:sz w:val="22"/>
          <w:szCs w:val="22"/>
        </w:rPr>
        <w:t>✅</w:t>
      </w:r>
      <w:r w:rsidRPr="00E23AD7">
        <w:rPr>
          <w:rFonts w:cstheme="minorHAnsi"/>
          <w:sz w:val="22"/>
          <w:szCs w:val="22"/>
        </w:rPr>
        <w:t>Identification and verification of the client and beneficial owner through prescribed KYC documents at the onset of any account-based relationship or for transactions exceeding ₹50,000.</w:t>
      </w:r>
    </w:p>
    <w:p w:rsidR="00E23AD7" w:rsidRPr="00E23AD7" w:rsidRDefault="00E23AD7" w:rsidP="00E23AD7">
      <w:pPr>
        <w:rPr>
          <w:rFonts w:cstheme="minorHAnsi"/>
          <w:sz w:val="22"/>
          <w:szCs w:val="22"/>
        </w:rPr>
      </w:pPr>
      <w:r w:rsidRPr="00E23AD7">
        <w:rPr>
          <w:rFonts w:ascii="Segoe UI Emoji" w:hAnsi="Segoe UI Emoji" w:cs="Segoe UI Emoji"/>
          <w:b/>
          <w:bCs/>
          <w:sz w:val="22"/>
          <w:szCs w:val="22"/>
        </w:rPr>
        <w:t>✅</w:t>
      </w:r>
      <w:r w:rsidRPr="00E23AD7">
        <w:rPr>
          <w:rFonts w:cstheme="minorHAnsi"/>
          <w:sz w:val="22"/>
          <w:szCs w:val="22"/>
        </w:rPr>
        <w:t>Gathering information regarding the purpose and intended nature of the business relationship from the client.</w:t>
      </w:r>
    </w:p>
    <w:p w:rsidR="00E23AD7" w:rsidRPr="00E23AD7" w:rsidRDefault="00E23AD7" w:rsidP="00E23AD7">
      <w:pPr>
        <w:rPr>
          <w:rFonts w:cstheme="minorHAnsi"/>
          <w:sz w:val="22"/>
          <w:szCs w:val="22"/>
        </w:rPr>
      </w:pPr>
      <w:r w:rsidRPr="00E23AD7">
        <w:rPr>
          <w:rFonts w:ascii="Segoe UI Emoji" w:hAnsi="Segoe UI Emoji" w:cs="Segoe UI Emoji"/>
          <w:b/>
          <w:bCs/>
          <w:sz w:val="22"/>
          <w:szCs w:val="22"/>
        </w:rPr>
        <w:t>✅</w:t>
      </w:r>
      <w:r w:rsidRPr="00E23AD7">
        <w:rPr>
          <w:rFonts w:cstheme="minorHAnsi"/>
          <w:sz w:val="22"/>
          <w:szCs w:val="22"/>
        </w:rPr>
        <w:t>Assessing the client's business, ownership structure, and control patterns to evaluate risk.</w:t>
      </w:r>
    </w:p>
    <w:p w:rsidR="00E23AD7" w:rsidRPr="00E23AD7" w:rsidRDefault="00E23AD7" w:rsidP="00E23AD7">
      <w:pPr>
        <w:rPr>
          <w:rFonts w:cstheme="minorHAnsi"/>
          <w:sz w:val="22"/>
          <w:szCs w:val="22"/>
        </w:rPr>
      </w:pPr>
      <w:r w:rsidRPr="00E23AD7">
        <w:rPr>
          <w:rFonts w:ascii="Segoe UI Emoji" w:hAnsi="Segoe UI Emoji" w:cs="Segoe UI Emoji"/>
          <w:b/>
          <w:bCs/>
          <w:sz w:val="22"/>
          <w:szCs w:val="22"/>
        </w:rPr>
        <w:t>✅</w:t>
      </w:r>
      <w:r w:rsidRPr="00E23AD7">
        <w:rPr>
          <w:rFonts w:cstheme="minorHAnsi"/>
          <w:sz w:val="22"/>
          <w:szCs w:val="22"/>
        </w:rPr>
        <w:t>Special due diligence (Enhanced Due Diligence - EDD) is required for clients belonging to special categories (CSC), which include non-residents, politically exposed persons (PEPs), high-net-worth individuals, trusts, NGOs, and clients from high-risk jurisdictions.</w:t>
      </w:r>
    </w:p>
    <w:p w:rsidR="00E23AD7" w:rsidRPr="00E23AD7" w:rsidRDefault="00E23AD7" w:rsidP="00E23AD7">
      <w:pPr>
        <w:rPr>
          <w:rFonts w:cstheme="minorHAnsi"/>
          <w:sz w:val="22"/>
          <w:szCs w:val="22"/>
        </w:rPr>
      </w:pPr>
      <w:r w:rsidRPr="00E23AD7">
        <w:rPr>
          <w:rFonts w:ascii="Segoe UI Emoji" w:hAnsi="Segoe UI Emoji" w:cs="Segoe UI Emoji"/>
          <w:b/>
          <w:bCs/>
          <w:sz w:val="22"/>
          <w:szCs w:val="22"/>
        </w:rPr>
        <w:t>✅</w:t>
      </w:r>
      <w:r w:rsidRPr="00E23AD7">
        <w:rPr>
          <w:rFonts w:cstheme="minorHAnsi"/>
          <w:sz w:val="22"/>
          <w:szCs w:val="22"/>
        </w:rPr>
        <w:t>Ongoing monitoring of transactions throughout the relationship to ensure alignment with the client's profile, source of funds, and risk rating.</w:t>
      </w:r>
    </w:p>
    <w:p w:rsidR="00E23AD7" w:rsidRPr="00E23AD7" w:rsidRDefault="00E23AD7" w:rsidP="00E23AD7">
      <w:pPr>
        <w:rPr>
          <w:rFonts w:cstheme="minorHAnsi"/>
          <w:sz w:val="22"/>
          <w:szCs w:val="22"/>
        </w:rPr>
      </w:pPr>
      <w:r w:rsidRPr="00E23AD7">
        <w:rPr>
          <w:rFonts w:ascii="Segoe UI Emoji" w:hAnsi="Segoe UI Emoji" w:cs="Segoe UI Emoji"/>
          <w:b/>
          <w:bCs/>
          <w:sz w:val="22"/>
          <w:szCs w:val="22"/>
        </w:rPr>
        <w:t>✅</w:t>
      </w:r>
      <w:r w:rsidRPr="00E23AD7">
        <w:rPr>
          <w:rFonts w:cstheme="minorHAnsi"/>
          <w:sz w:val="22"/>
          <w:szCs w:val="22"/>
        </w:rPr>
        <w:t>Reliance on third parties for CDD is allowed if they are regulated, supervised, and adhere to AML/CFT regulations, along with maintaining proper records and transparency.</w:t>
      </w:r>
    </w:p>
    <w:p w:rsidR="00E23AD7" w:rsidRPr="00E23AD7" w:rsidRDefault="00E23AD7" w:rsidP="00E23AD7">
      <w:pPr>
        <w:rPr>
          <w:rFonts w:cstheme="minorHAnsi"/>
          <w:sz w:val="22"/>
          <w:szCs w:val="22"/>
        </w:rPr>
      </w:pPr>
      <w:r w:rsidRPr="00E23AD7">
        <w:rPr>
          <w:rFonts w:ascii="Segoe UI Emoji" w:hAnsi="Segoe UI Emoji" w:cs="Segoe UI Emoji"/>
          <w:b/>
          <w:bCs/>
          <w:sz w:val="22"/>
          <w:szCs w:val="22"/>
        </w:rPr>
        <w:t>✅</w:t>
      </w:r>
      <w:r w:rsidRPr="00E23AD7">
        <w:rPr>
          <w:rFonts w:cstheme="minorHAnsi"/>
          <w:sz w:val="22"/>
          <w:szCs w:val="22"/>
        </w:rPr>
        <w:t>Anonymous or fictitious accounts are prohibited; continuous updates of KYC information are essential.</w:t>
      </w:r>
    </w:p>
    <w:p w:rsidR="00E23AD7" w:rsidRPr="00E23AD7" w:rsidRDefault="00E23AD7" w:rsidP="00E23AD7">
      <w:pPr>
        <w:rPr>
          <w:rFonts w:cstheme="minorHAnsi"/>
          <w:sz w:val="22"/>
          <w:szCs w:val="22"/>
        </w:rPr>
      </w:pPr>
      <w:r w:rsidRPr="00E23AD7">
        <w:rPr>
          <w:rFonts w:ascii="Segoe UI Emoji" w:hAnsi="Segoe UI Emoji" w:cs="Segoe UI Emoji"/>
          <w:b/>
          <w:bCs/>
          <w:sz w:val="22"/>
          <w:szCs w:val="22"/>
        </w:rPr>
        <w:t>✅</w:t>
      </w:r>
      <w:r w:rsidRPr="00E23AD7">
        <w:rPr>
          <w:rFonts w:cstheme="minorHAnsi"/>
          <w:sz w:val="22"/>
          <w:szCs w:val="22"/>
        </w:rPr>
        <w:t>Digital KYC processes have been implemented, including in-person verification via video and electronic Aadhaar authentication, to facilitate seamless client onboarding.</w:t>
      </w:r>
    </w:p>
    <w:p w:rsidR="00E23AD7" w:rsidRPr="00E23AD7" w:rsidRDefault="00E23AD7" w:rsidP="00E23AD7">
      <w:pPr>
        <w:rPr>
          <w:rFonts w:ascii="Segoe UI Emoji" w:hAnsi="Segoe UI Emoji" w:cs="Segoe UI Emoji"/>
          <w:b/>
          <w:bCs/>
          <w:sz w:val="22"/>
          <w:szCs w:val="22"/>
        </w:rPr>
      </w:pPr>
      <w:r w:rsidRPr="00E23AD7">
        <w:rPr>
          <w:rFonts w:ascii="Segoe UI Emoji" w:hAnsi="Segoe UI Emoji" w:cs="Segoe UI Emoji"/>
          <w:b/>
          <w:bCs/>
          <w:sz w:val="22"/>
          <w:szCs w:val="22"/>
        </w:rPr>
        <w:t>📌Important Note</w:t>
      </w:r>
    </w:p>
    <w:p w:rsidR="00E23AD7" w:rsidRPr="00E23AD7" w:rsidRDefault="00E23AD7" w:rsidP="00E23AD7">
      <w:pPr>
        <w:rPr>
          <w:rFonts w:ascii="Segoe UI Emoji" w:hAnsi="Segoe UI Emoji" w:cs="Segoe UI Emoji"/>
          <w:sz w:val="22"/>
          <w:szCs w:val="22"/>
        </w:rPr>
      </w:pPr>
      <w:r w:rsidRPr="00E23AD7">
        <w:rPr>
          <w:rFonts w:ascii="Segoe UI Emoji" w:hAnsi="Segoe UI Emoji" w:cs="Segoe UI Emoji"/>
          <w:sz w:val="22"/>
          <w:szCs w:val="22"/>
        </w:rPr>
        <w:t xml:space="preserve">According to the Research Analyst Regulations, there are certain restrictions on collecting client data, such as investment amounts, goals, liabilities, and more, as these fall under the jurisdiction of the Investment Adviser Regulation. </w:t>
      </w:r>
    </w:p>
    <w:p w:rsidR="00E23AD7" w:rsidRPr="00E23AD7" w:rsidRDefault="00E23AD7" w:rsidP="00E23AD7">
      <w:pPr>
        <w:rPr>
          <w:rFonts w:ascii="Segoe UI Emoji" w:hAnsi="Segoe UI Emoji" w:cs="Segoe UI Emoji"/>
          <w:sz w:val="22"/>
          <w:szCs w:val="22"/>
        </w:rPr>
      </w:pPr>
      <w:r w:rsidRPr="00E23AD7">
        <w:rPr>
          <w:rFonts w:ascii="Segoe UI Emoji" w:hAnsi="Segoe UI Emoji" w:cs="Segoe UI Emoji"/>
          <w:sz w:val="22"/>
          <w:szCs w:val="22"/>
        </w:rPr>
        <w:t>To protect everyone's best interests, we will maintain a record of each client's KYC for future reference and report any suspicious activities to the Financial Intelligence Unit (FIU).</w:t>
      </w:r>
    </w:p>
    <w:p w:rsidR="00E23AD7" w:rsidRPr="00E23AD7" w:rsidRDefault="00E23AD7" w:rsidP="00E23AD7">
      <w:pPr>
        <w:rPr>
          <w:rFonts w:cstheme="minorHAnsi"/>
          <w:b/>
          <w:bCs/>
          <w:sz w:val="22"/>
          <w:szCs w:val="22"/>
        </w:rPr>
      </w:pPr>
      <w:r w:rsidRPr="00E23AD7">
        <w:rPr>
          <w:rFonts w:cstheme="minorHAnsi"/>
          <w:b/>
          <w:bCs/>
          <w:sz w:val="22"/>
          <w:szCs w:val="22"/>
        </w:rPr>
        <w:t>Money Laundering Reporting Officer (MLRO)</w:t>
      </w:r>
    </w:p>
    <w:p w:rsidR="00E23AD7" w:rsidRPr="00E23AD7" w:rsidRDefault="00E23AD7" w:rsidP="00E23AD7">
      <w:pPr>
        <w:rPr>
          <w:rFonts w:cstheme="minorHAnsi"/>
          <w:b/>
          <w:bCs/>
          <w:sz w:val="22"/>
          <w:szCs w:val="22"/>
        </w:rPr>
      </w:pPr>
      <w:r w:rsidRPr="00E23AD7">
        <w:rPr>
          <w:rFonts w:ascii="Segoe UI Emoji" w:hAnsi="Segoe UI Emoji" w:cs="Segoe UI Emoji"/>
          <w:b/>
          <w:bCs/>
          <w:sz w:val="22"/>
          <w:szCs w:val="22"/>
        </w:rPr>
        <w:t>📌</w:t>
      </w:r>
      <w:r w:rsidRPr="00E23AD7">
        <w:rPr>
          <w:rFonts w:cstheme="minorHAnsi"/>
          <w:b/>
          <w:bCs/>
          <w:sz w:val="22"/>
          <w:szCs w:val="22"/>
        </w:rPr>
        <w:t xml:space="preserve">Report any suspicious transaction to our MLRO department: </w:t>
      </w:r>
    </w:p>
    <w:p w:rsidR="00E23AD7" w:rsidRPr="00E23AD7" w:rsidRDefault="00E23AD7" w:rsidP="00E23AD7">
      <w:pPr>
        <w:rPr>
          <w:rFonts w:cstheme="minorHAnsi"/>
          <w:sz w:val="22"/>
          <w:szCs w:val="22"/>
        </w:rPr>
      </w:pPr>
      <w:r w:rsidRPr="00E23AD7">
        <w:rPr>
          <w:rFonts w:cstheme="minorHAnsi"/>
          <w:sz w:val="22"/>
          <w:szCs w:val="22"/>
        </w:rPr>
        <w:t xml:space="preserve">Name: </w:t>
      </w:r>
      <w:r w:rsidRPr="00E23AD7">
        <w:rPr>
          <w:rFonts w:cstheme="minorHAnsi"/>
          <w:b/>
          <w:bCs/>
          <w:sz w:val="22"/>
          <w:szCs w:val="22"/>
          <w:highlight w:val="yellow"/>
        </w:rPr>
        <w:t>VIPUL KAUSHIK</w:t>
      </w:r>
    </w:p>
    <w:p w:rsidR="00E23AD7" w:rsidRPr="00E23AD7" w:rsidRDefault="00E23AD7" w:rsidP="00E23AD7">
      <w:pPr>
        <w:rPr>
          <w:rFonts w:cstheme="minorHAnsi"/>
          <w:b/>
          <w:bCs/>
          <w:sz w:val="22"/>
          <w:szCs w:val="22"/>
        </w:rPr>
      </w:pPr>
      <w:r w:rsidRPr="00E23AD7">
        <w:rPr>
          <w:rFonts w:cstheme="minorHAnsi"/>
          <w:sz w:val="22"/>
          <w:szCs w:val="22"/>
        </w:rPr>
        <w:t xml:space="preserve">Phone: </w:t>
      </w:r>
      <w:r w:rsidRPr="00E23AD7">
        <w:rPr>
          <w:rFonts w:cstheme="minorHAnsi"/>
          <w:b/>
          <w:bCs/>
          <w:sz w:val="22"/>
          <w:szCs w:val="22"/>
        </w:rPr>
        <w:t>+91</w:t>
      </w:r>
      <w:r w:rsidRPr="00E23AD7">
        <w:rPr>
          <w:rFonts w:cstheme="minorHAnsi"/>
          <w:sz w:val="22"/>
          <w:szCs w:val="22"/>
        </w:rPr>
        <w:t xml:space="preserve"> </w:t>
      </w:r>
      <w:r w:rsidRPr="00E23AD7">
        <w:rPr>
          <w:rFonts w:cstheme="minorHAnsi"/>
          <w:b/>
          <w:bCs/>
          <w:sz w:val="22"/>
          <w:szCs w:val="22"/>
          <w:highlight w:val="yellow"/>
        </w:rPr>
        <w:t>76696 79113</w:t>
      </w:r>
    </w:p>
    <w:p w:rsidR="00E23AD7" w:rsidRPr="00E23AD7" w:rsidRDefault="00E23AD7" w:rsidP="00E23AD7">
      <w:pPr>
        <w:rPr>
          <w:rFonts w:cstheme="minorHAnsi"/>
          <w:b/>
          <w:bCs/>
          <w:sz w:val="22"/>
          <w:szCs w:val="22"/>
        </w:rPr>
      </w:pPr>
      <w:r w:rsidRPr="00E23AD7">
        <w:rPr>
          <w:rFonts w:cstheme="minorHAnsi"/>
          <w:sz w:val="22"/>
          <w:szCs w:val="22"/>
        </w:rPr>
        <w:t xml:space="preserve">Mail: </w:t>
      </w:r>
      <w:r w:rsidRPr="00E23AD7">
        <w:rPr>
          <w:rFonts w:cstheme="minorHAnsi"/>
          <w:b/>
          <w:bCs/>
          <w:sz w:val="22"/>
          <w:szCs w:val="22"/>
          <w:highlight w:val="yellow"/>
        </w:rPr>
        <w:t>vipultheresearchanalyst@gmail.com</w:t>
      </w:r>
    </w:p>
    <w:p w:rsidR="00E23AD7" w:rsidRDefault="00E23AD7"/>
    <w:sectPr w:rsidR="00E23AD7">
      <w:headerReference w:type="default" r:id="rId6"/>
      <w:footerReference w:type="default" r:id="rI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AD7"/>
    <w:rsid w:val="00885C3E"/>
    <w:rsid w:val="00973E31"/>
    <w:rsid w:val="00E0665A"/>
    <w:rsid w:val="00E23A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B98E6"/>
  <w15:chartTrackingRefBased/>
  <w15:docId w15:val="{75B231B7-4799-422B-AA75-F4E070D2D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AD7"/>
  </w:style>
  <w:style w:type="paragraph" w:styleId="Heading1">
    <w:name w:val="heading 1"/>
    <w:basedOn w:val="Normal"/>
    <w:next w:val="Normal"/>
    <w:link w:val="Heading1Char"/>
    <w:uiPriority w:val="9"/>
    <w:qFormat/>
    <w:rsid w:val="00E23AD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23AD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23AD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23AD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23AD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23A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3A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3A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3A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3AD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23AD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23AD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23AD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23AD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23A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3A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3A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3AD7"/>
    <w:rPr>
      <w:rFonts w:eastAsiaTheme="majorEastAsia" w:cstheme="majorBidi"/>
      <w:color w:val="272727" w:themeColor="text1" w:themeTint="D8"/>
    </w:rPr>
  </w:style>
  <w:style w:type="paragraph" w:styleId="Title">
    <w:name w:val="Title"/>
    <w:basedOn w:val="Normal"/>
    <w:next w:val="Normal"/>
    <w:link w:val="TitleChar"/>
    <w:uiPriority w:val="10"/>
    <w:qFormat/>
    <w:rsid w:val="00E23A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3A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3A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3A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3AD7"/>
    <w:pPr>
      <w:spacing w:before="160"/>
      <w:jc w:val="center"/>
    </w:pPr>
    <w:rPr>
      <w:i/>
      <w:iCs/>
      <w:color w:val="404040" w:themeColor="text1" w:themeTint="BF"/>
    </w:rPr>
  </w:style>
  <w:style w:type="character" w:customStyle="1" w:styleId="QuoteChar">
    <w:name w:val="Quote Char"/>
    <w:basedOn w:val="DefaultParagraphFont"/>
    <w:link w:val="Quote"/>
    <w:uiPriority w:val="29"/>
    <w:rsid w:val="00E23AD7"/>
    <w:rPr>
      <w:i/>
      <w:iCs/>
      <w:color w:val="404040" w:themeColor="text1" w:themeTint="BF"/>
    </w:rPr>
  </w:style>
  <w:style w:type="paragraph" w:styleId="ListParagraph">
    <w:name w:val="List Paragraph"/>
    <w:basedOn w:val="Normal"/>
    <w:uiPriority w:val="34"/>
    <w:qFormat/>
    <w:rsid w:val="00E23AD7"/>
    <w:pPr>
      <w:ind w:left="720"/>
      <w:contextualSpacing/>
    </w:pPr>
  </w:style>
  <w:style w:type="character" w:styleId="IntenseEmphasis">
    <w:name w:val="Intense Emphasis"/>
    <w:basedOn w:val="DefaultParagraphFont"/>
    <w:uiPriority w:val="21"/>
    <w:qFormat/>
    <w:rsid w:val="00E23AD7"/>
    <w:rPr>
      <w:i/>
      <w:iCs/>
      <w:color w:val="2F5496" w:themeColor="accent1" w:themeShade="BF"/>
    </w:rPr>
  </w:style>
  <w:style w:type="paragraph" w:styleId="IntenseQuote">
    <w:name w:val="Intense Quote"/>
    <w:basedOn w:val="Normal"/>
    <w:next w:val="Normal"/>
    <w:link w:val="IntenseQuoteChar"/>
    <w:uiPriority w:val="30"/>
    <w:qFormat/>
    <w:rsid w:val="00E23AD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3AD7"/>
    <w:rPr>
      <w:i/>
      <w:iCs/>
      <w:color w:val="2F5496" w:themeColor="accent1" w:themeShade="BF"/>
    </w:rPr>
  </w:style>
  <w:style w:type="character" w:styleId="IntenseReference">
    <w:name w:val="Intense Reference"/>
    <w:basedOn w:val="DefaultParagraphFont"/>
    <w:uiPriority w:val="32"/>
    <w:qFormat/>
    <w:rsid w:val="00E23AD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293</Words>
  <Characters>1676</Characters>
  <Application>Microsoft Office Word</Application>
  <DocSecurity>0</DocSecurity>
  <Lines>13</Lines>
  <Paragraphs>3</Paragraphs>
  <ScaleCrop>false</ScaleCrop>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Krishna Murti</dc:creator>
  <cp:keywords/>
  <dc:description/>
  <cp:lastModifiedBy>Krishna Murti</cp:lastModifiedBy>
  <cp:revision>13</cp:revision>
  <dcterms:created xsi:type="dcterms:W3CDTF">2026-03-26T21:50:00Z</dcterms:created>
  <dcterms:modified xsi:type="dcterms:W3CDTF">2026-03-26T21:52:00Z</dcterms:modified>
</cp:coreProperties>
</file>