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90FA8" w:rsidRDefault="00690FA8" w:rsidP="00690FA8">
      <w:pPr>
        <w:spacing w:before="240" w:line="288" w:lineRule="auto"/>
        <w:rPr>
          <w:b/>
          <w:sz w:val="56"/>
        </w:rPr>
      </w:pPr>
      <w:bookmarkStart w:id="0" w:name="research_analyst_advertisement_policy"/>
      <w:bookmarkStart w:id="1" w:name="fit_and_proper_person_policy"/>
      <w:r>
        <w:rPr>
          <w:b/>
          <w:sz w:val="56"/>
        </w:rPr>
        <w:t xml:space="preserve">RESEARCH ANALYST </w:t>
      </w:r>
      <w:bookmarkEnd w:id="0"/>
    </w:p>
    <w:p w:rsidR="00690FA8" w:rsidRPr="00690FA8" w:rsidRDefault="00640AF5" w:rsidP="00690FA8">
      <w:pPr>
        <w:spacing w:before="240" w:line="288" w:lineRule="auto"/>
        <w:rPr>
          <w:sz w:val="48"/>
          <w:szCs w:val="48"/>
        </w:rPr>
      </w:pPr>
      <w:r>
        <w:rPr>
          <w:b/>
          <w:color w:val="EE0000"/>
          <w:sz w:val="48"/>
          <w:szCs w:val="48"/>
        </w:rPr>
        <w:t>OUTSOURCING POLICY</w:t>
      </w:r>
    </w:p>
    <w:p w:rsidR="00690FA8" w:rsidRDefault="00690FA8" w:rsidP="001B27D7">
      <w:pPr>
        <w:spacing w:before="210" w:after="0" w:line="360" w:lineRule="auto"/>
        <w:rPr>
          <w:rFonts w:ascii="inter" w:eastAsia="inter" w:hAnsi="inter" w:cs="inter"/>
          <w:b/>
          <w:color w:val="000000"/>
          <w:sz w:val="39"/>
        </w:rPr>
      </w:pPr>
      <w:r>
        <w:rPr>
          <w:b/>
        </w:rPr>
        <w:t xml:space="preserve">For: </w:t>
      </w:r>
      <w:r w:rsidR="00DF7BEE" w:rsidRPr="00E63330">
        <w:rPr>
          <w:b/>
          <w:color w:val="00B050"/>
          <w:highlight w:val="yellow"/>
        </w:rPr>
        <w:t>VIPUL KAUSHIK</w:t>
      </w:r>
      <w:r w:rsidRPr="00690FA8">
        <w:rPr>
          <w:b/>
          <w:color w:val="00B050"/>
        </w:rPr>
        <w:t xml:space="preserve"> </w:t>
      </w:r>
      <w:r>
        <w:rPr>
          <w:b/>
        </w:rPr>
        <w:t>(</w:t>
      </w:r>
      <w:r w:rsidR="00DF7BEE" w:rsidRPr="00E63330">
        <w:rPr>
          <w:b/>
          <w:color w:val="00B050"/>
          <w:highlight w:val="yellow"/>
        </w:rPr>
        <w:t>INH000024116</w:t>
      </w:r>
      <w:r>
        <w:rPr>
          <w:b/>
        </w:rPr>
        <w:t>)</w:t>
      </w:r>
    </w:p>
    <w:bookmarkEnd w:id="1"/>
    <w:p w:rsidR="00025133" w:rsidRPr="00690FA8" w:rsidRDefault="00FC3528" w:rsidP="001B27D7">
      <w:pPr>
        <w:spacing w:before="210" w:after="0" w:line="360" w:lineRule="auto"/>
        <w:rPr>
          <w:rFonts w:ascii="inter" w:eastAsia="inter" w:hAnsi="inter" w:cs="inter"/>
          <w:b/>
          <w:color w:val="000000"/>
          <w:sz w:val="39"/>
        </w:rPr>
      </w:pPr>
      <w:r>
        <w:rPr>
          <w:rFonts w:eastAsia="Georgia" w:hAnsi="Georgia" w:cs="Georgia"/>
          <w:b/>
          <w:color w:val="000000"/>
          <w:sz w:val="39"/>
        </w:rPr>
        <w:t>Outsourcing Policy</w:t>
      </w:r>
    </w:p>
    <w:p w:rsidR="00025133" w:rsidRDefault="00000000">
      <w:pPr>
        <w:spacing w:before="315" w:after="105" w:line="360" w:lineRule="auto"/>
        <w:ind w:left="-30"/>
      </w:pPr>
      <w:bookmarkStart w:id="2" w:name="bm_1_purpose"/>
      <w:r>
        <w:rPr>
          <w:rFonts w:ascii="inter" w:eastAsia="inter" w:hAnsi="inter" w:cs="inter"/>
          <w:b/>
          <w:color w:val="000000"/>
          <w:sz w:val="24"/>
        </w:rPr>
        <w:t>1. Purpose</w:t>
      </w:r>
      <w:bookmarkEnd w:id="2"/>
    </w:p>
    <w:p w:rsidR="00463478" w:rsidRDefault="00463478">
      <w:pPr>
        <w:spacing w:after="210" w:line="360" w:lineRule="auto"/>
      </w:pPr>
      <w:r>
        <w:rPr>
          <w:rFonts w:eastAsia="Georgia" w:hAnsi="Georgia" w:cs="Georgia"/>
          <w:color w:val="000000"/>
        </w:rPr>
        <w:t>This policy ensures strict adherence to SEBI (Research Analysts) Regulations, 2014 ("SEBI RA Regulations"), by prohibiting the outsourcing of core research analyst activities while permitting the controlled use of compliant third-party SaaS solutions for ancillary, non-core functions. It safeguards client interests, maintains regulatory compliance, minimizes conflicts of interest, and protects sensitive data in line with RBI guidelines on payments and data protection.</w:t>
      </w:r>
    </w:p>
    <w:p w:rsidR="00025133" w:rsidRPr="00463478" w:rsidRDefault="00000000">
      <w:pPr>
        <w:spacing w:after="210" w:line="360" w:lineRule="auto"/>
      </w:pPr>
      <w:r>
        <w:rPr>
          <w:rFonts w:ascii="inter" w:eastAsia="inter" w:hAnsi="inter" w:cs="inter"/>
          <w:color w:val="000000"/>
        </w:rPr>
        <w:br/>
      </w:r>
      <w:r>
        <w:rPr>
          <w:rFonts w:ascii="inter" w:eastAsia="inter" w:hAnsi="inter" w:cs="inter"/>
          <w:b/>
          <w:color w:val="000000"/>
        </w:rPr>
        <w:t>Applies to:</w:t>
      </w:r>
      <w:r>
        <w:rPr>
          <w:rFonts w:ascii="inter" w:eastAsia="inter" w:hAnsi="inter" w:cs="inter"/>
          <w:color w:val="000000"/>
        </w:rPr>
        <w:t xml:space="preserve"> All employees, associates, partners</w:t>
      </w:r>
      <w:r w:rsidR="00C96771">
        <w:rPr>
          <w:rFonts w:ascii="inter" w:eastAsia="inter" w:hAnsi="inter" w:cs="inter"/>
          <w:color w:val="000000"/>
        </w:rPr>
        <w:t>, and directors</w:t>
      </w:r>
      <w:r>
        <w:rPr>
          <w:rFonts w:ascii="inter" w:eastAsia="inter" w:hAnsi="inter" w:cs="inter"/>
          <w:color w:val="000000"/>
        </w:rPr>
        <w:t xml:space="preserve"> of </w:t>
      </w:r>
      <w:r w:rsidR="00DF7BEE" w:rsidRPr="00071321">
        <w:rPr>
          <w:rFonts w:ascii="inter" w:eastAsia="inter" w:hAnsi="inter" w:cs="inter"/>
          <w:b/>
          <w:bCs/>
          <w:color w:val="EE0000"/>
          <w:highlight w:val="yellow"/>
        </w:rPr>
        <w:t>VIPUL KAUSHIK</w:t>
      </w:r>
      <w:r w:rsidRPr="004639B7">
        <w:rPr>
          <w:rFonts w:ascii="inter" w:eastAsia="inter" w:hAnsi="inter" w:cs="inter"/>
          <w:color w:val="EE0000"/>
        </w:rPr>
        <w:t xml:space="preserve"> </w:t>
      </w:r>
      <w:r>
        <w:rPr>
          <w:rFonts w:ascii="inter" w:eastAsia="inter" w:hAnsi="inter" w:cs="inter"/>
          <w:color w:val="000000"/>
        </w:rPr>
        <w:t>(</w:t>
      </w:r>
      <w:r w:rsidR="00DF7BEE" w:rsidRPr="00071321">
        <w:rPr>
          <w:rFonts w:ascii="inter" w:eastAsia="inter" w:hAnsi="inter" w:cs="inter"/>
          <w:b/>
          <w:bCs/>
          <w:color w:val="EE0000"/>
          <w:highlight w:val="yellow"/>
        </w:rPr>
        <w:t>INH000024116</w:t>
      </w:r>
      <w:r>
        <w:rPr>
          <w:rFonts w:ascii="inter" w:eastAsia="inter" w:hAnsi="inter" w:cs="inter"/>
          <w:color w:val="000000"/>
        </w:rPr>
        <w:t>)</w:t>
      </w:r>
      <w:r w:rsidR="002A38BF">
        <w:rPr>
          <w:rFonts w:ascii="inter" w:eastAsia="inter" w:hAnsi="inter" w:cs="inter"/>
          <w:color w:val="000000"/>
        </w:rPr>
        <w:t xml:space="preserve">, which involved in </w:t>
      </w:r>
      <w:r w:rsidR="002A38BF">
        <w:rPr>
          <w:rFonts w:eastAsia="Georgia" w:hAnsi="Georgia" w:cs="Georgia"/>
          <w:color w:val="000000"/>
        </w:rPr>
        <w:t>research, client interactions, or operations. It covers all outsourcing arrangements, including vendors, platforms, and service providers.</w:t>
      </w:r>
      <w:r>
        <w:rPr>
          <w:rFonts w:ascii="inter" w:eastAsia="inter" w:hAnsi="inter" w:cs="inter"/>
          <w:color w:val="000000"/>
        </w:rPr>
        <w:br/>
      </w:r>
      <w:r>
        <w:rPr>
          <w:rFonts w:ascii="inter" w:eastAsia="inter" w:hAnsi="inter" w:cs="inter"/>
          <w:b/>
          <w:color w:val="000000"/>
        </w:rPr>
        <w:t>Approved by:</w:t>
      </w:r>
      <w:r>
        <w:rPr>
          <w:rFonts w:ascii="inter" w:eastAsia="inter" w:hAnsi="inter" w:cs="inter"/>
          <w:color w:val="000000"/>
        </w:rPr>
        <w:t xml:space="preserve"> Compliance Officer</w:t>
      </w:r>
      <w:r w:rsidR="006C649B">
        <w:rPr>
          <w:rFonts w:ascii="inter" w:eastAsia="inter" w:hAnsi="inter" w:cs="inter"/>
          <w:color w:val="000000"/>
        </w:rPr>
        <w:t xml:space="preserve">: </w:t>
      </w:r>
      <w:r w:rsidR="00870843" w:rsidRPr="00071321">
        <w:rPr>
          <w:rFonts w:ascii="inter" w:eastAsia="inter" w:hAnsi="inter" w:cs="inter"/>
          <w:b/>
          <w:bCs/>
          <w:color w:val="EE0000"/>
          <w:highlight w:val="yellow"/>
        </w:rPr>
        <w:t>KRISHNA MURTI</w:t>
      </w:r>
    </w:p>
    <w:p w:rsidR="00025133" w:rsidRDefault="00000000">
      <w:pPr>
        <w:spacing w:before="315" w:after="105" w:line="360" w:lineRule="auto"/>
        <w:ind w:left="-30"/>
      </w:pPr>
      <w:bookmarkStart w:id="3" w:name="bm_2_scope_and_definitions"/>
      <w:r>
        <w:rPr>
          <w:rFonts w:ascii="inter" w:eastAsia="inter" w:hAnsi="inter" w:cs="inter"/>
          <w:b/>
          <w:color w:val="000000"/>
          <w:sz w:val="24"/>
        </w:rPr>
        <w:t>2. Scope and Definitions</w:t>
      </w:r>
      <w:bookmarkEnd w:id="3"/>
    </w:p>
    <w:p w:rsidR="008179D0" w:rsidRDefault="008179D0" w:rsidP="008179D0">
      <w:pPr>
        <w:numPr>
          <w:ilvl w:val="0"/>
          <w:numId w:val="10"/>
        </w:numPr>
        <w:spacing w:before="105" w:after="105" w:line="360" w:lineRule="auto"/>
      </w:pPr>
      <w:bookmarkStart w:id="4" w:name="bm_3_mandatory_standards"/>
      <w:r>
        <w:rPr>
          <w:rFonts w:eastAsia="Georgia" w:hAnsi="Georgia" w:cs="Georgia"/>
          <w:b/>
          <w:color w:val="000000"/>
        </w:rPr>
        <w:t>Core Activities</w:t>
      </w:r>
      <w:r>
        <w:rPr>
          <w:rFonts w:eastAsia="Georgia" w:hAnsi="Georgia" w:cs="Georgia"/>
          <w:color w:val="000000"/>
        </w:rPr>
        <w:t>: Research analysis, report generation, client KYC, core client operations (e.g., onboarding, interactions, advisory), and any activity requiring the Research Analyst registration under SEBI RA Regulations.</w:t>
      </w:r>
    </w:p>
    <w:p w:rsidR="008179D0" w:rsidRDefault="008179D0" w:rsidP="008179D0">
      <w:pPr>
        <w:numPr>
          <w:ilvl w:val="0"/>
          <w:numId w:val="10"/>
        </w:numPr>
        <w:spacing w:before="105" w:after="105" w:line="360" w:lineRule="auto"/>
      </w:pPr>
      <w:r>
        <w:rPr>
          <w:rFonts w:eastAsia="Georgia" w:hAnsi="Georgia" w:cs="Georgia"/>
          <w:b/>
          <w:color w:val="000000"/>
        </w:rPr>
        <w:t>Third-Party Vendors/SaaS Solutions</w:t>
      </w:r>
      <w:r>
        <w:rPr>
          <w:rFonts w:eastAsia="Georgia" w:hAnsi="Georgia" w:cs="Georgia"/>
          <w:color w:val="000000"/>
        </w:rPr>
        <w:t>: External providers of software/services compliant with RBI norms (e.g., payment gateways, data collection tools) that do not involve core activities.</w:t>
      </w:r>
    </w:p>
    <w:p w:rsidR="008179D0" w:rsidRDefault="008179D0" w:rsidP="008179D0">
      <w:pPr>
        <w:numPr>
          <w:ilvl w:val="0"/>
          <w:numId w:val="10"/>
        </w:numPr>
        <w:spacing w:before="105" w:after="105" w:line="360" w:lineRule="auto"/>
      </w:pPr>
      <w:r>
        <w:rPr>
          <w:rFonts w:eastAsia="Georgia" w:hAnsi="Georgia" w:cs="Georgia"/>
          <w:b/>
          <w:color w:val="000000"/>
        </w:rPr>
        <w:t>RBI Approved Payment Gateways</w:t>
      </w:r>
      <w:r>
        <w:rPr>
          <w:rFonts w:eastAsia="Georgia" w:hAnsi="Georgia" w:cs="Georgia"/>
          <w:color w:val="000000"/>
        </w:rPr>
        <w:t xml:space="preserve">: Gateways licensed by RBI or </w:t>
      </w:r>
      <w:r w:rsidR="0018564F">
        <w:rPr>
          <w:rFonts w:eastAsia="Georgia" w:hAnsi="Georgia" w:cs="Georgia"/>
          <w:color w:val="000000"/>
        </w:rPr>
        <w:t>tied up</w:t>
      </w:r>
      <w:r>
        <w:rPr>
          <w:rFonts w:eastAsia="Georgia" w:hAnsi="Georgia" w:cs="Georgia"/>
          <w:color w:val="000000"/>
        </w:rPr>
        <w:t xml:space="preserve"> with RBI-authorized entities under </w:t>
      </w:r>
      <w:r w:rsidR="0018564F">
        <w:rPr>
          <w:rFonts w:eastAsia="Georgia" w:hAnsi="Georgia" w:cs="Georgia"/>
          <w:color w:val="000000"/>
        </w:rPr>
        <w:t xml:space="preserve">the </w:t>
      </w:r>
      <w:r>
        <w:rPr>
          <w:rFonts w:eastAsia="Georgia" w:hAnsi="Georgia" w:cs="Georgia"/>
          <w:color w:val="000000"/>
        </w:rPr>
        <w:t>Payment and Settlement Systems Act, 2007.</w:t>
      </w:r>
    </w:p>
    <w:p w:rsidR="008179D0" w:rsidRDefault="008179D0" w:rsidP="008179D0">
      <w:pPr>
        <w:spacing w:before="315" w:after="105" w:line="360" w:lineRule="auto"/>
        <w:ind w:left="-30"/>
      </w:pPr>
      <w:bookmarkStart w:id="5" w:name="bm_4_prohibitions_on_outsourcing_6734d6"/>
      <w:bookmarkEnd w:id="4"/>
      <w:r>
        <w:rPr>
          <w:rFonts w:eastAsia="Georgia" w:hAnsi="Georgia" w:cs="Georgia"/>
          <w:b/>
          <w:color w:val="000000"/>
          <w:sz w:val="24"/>
        </w:rPr>
        <w:t>3. Prohibitions on Outsourcing Core Activities</w:t>
      </w:r>
      <w:bookmarkEnd w:id="5"/>
    </w:p>
    <w:p w:rsidR="008179D0" w:rsidRDefault="008179D0" w:rsidP="008179D0">
      <w:pPr>
        <w:spacing w:after="210" w:line="360" w:lineRule="auto"/>
      </w:pPr>
      <w:r>
        <w:rPr>
          <w:rFonts w:eastAsia="Georgia" w:hAnsi="Georgia" w:cs="Georgia"/>
          <w:color w:val="000000"/>
        </w:rPr>
        <w:t>In line with Regulation 25 of SEBI RA Regulations and related circulars (e.g.,</w:t>
      </w:r>
      <w:r w:rsidR="000E14FE">
        <w:rPr>
          <w:rFonts w:eastAsia="Georgia" w:hAnsi="Georgia" w:cs="Georgia"/>
          <w:color w:val="000000"/>
        </w:rPr>
        <w:t xml:space="preserve"> </w:t>
      </w:r>
      <w:r>
        <w:rPr>
          <w:rFonts w:eastAsia="Georgia" w:hAnsi="Georgia" w:cs="Georgia"/>
          <w:color w:val="000000"/>
        </w:rPr>
        <w:t xml:space="preserve">SEBI/HO/MIRSD/DOP/CIR/P/2019/107), the Firm </w:t>
      </w:r>
      <w:r>
        <w:rPr>
          <w:rFonts w:eastAsia="Georgia" w:hAnsi="Georgia" w:cs="Georgia"/>
          <w:b/>
          <w:color w:val="000000"/>
        </w:rPr>
        <w:t>shall not outsource</w:t>
      </w:r>
      <w:r>
        <w:rPr>
          <w:rFonts w:eastAsia="Georgia" w:hAnsi="Georgia" w:cs="Georgia"/>
          <w:color w:val="000000"/>
        </w:rPr>
        <w:t>:</w:t>
      </w:r>
    </w:p>
    <w:p w:rsidR="008179D0" w:rsidRDefault="008179D0" w:rsidP="008179D0">
      <w:pPr>
        <w:numPr>
          <w:ilvl w:val="0"/>
          <w:numId w:val="11"/>
        </w:numPr>
        <w:spacing w:before="105" w:after="105" w:line="360" w:lineRule="auto"/>
      </w:pPr>
      <w:r>
        <w:rPr>
          <w:rFonts w:eastAsia="Georgia" w:hAnsi="Georgia" w:cs="Georgia"/>
          <w:color w:val="000000"/>
        </w:rPr>
        <w:t>Research activities (e.g., recommendation</w:t>
      </w:r>
      <w:r w:rsidR="000E14FE">
        <w:rPr>
          <w:rFonts w:eastAsia="Georgia" w:hAnsi="Georgia" w:cs="Georgia"/>
          <w:color w:val="000000"/>
        </w:rPr>
        <w:t>,</w:t>
      </w:r>
      <w:r>
        <w:rPr>
          <w:rFonts w:eastAsia="Georgia" w:hAnsi="Georgia" w:cs="Georgia"/>
          <w:color w:val="000000"/>
        </w:rPr>
        <w:t xml:space="preserve"> preparation</w:t>
      </w:r>
      <w:r w:rsidR="000E14FE">
        <w:rPr>
          <w:rFonts w:eastAsia="Georgia" w:hAnsi="Georgia" w:cs="Georgia"/>
          <w:color w:val="000000"/>
        </w:rPr>
        <w:t>, and similar activities</w:t>
      </w:r>
      <w:r>
        <w:rPr>
          <w:rFonts w:eastAsia="Georgia" w:hAnsi="Georgia" w:cs="Georgia"/>
          <w:color w:val="000000"/>
        </w:rPr>
        <w:t>).</w:t>
      </w:r>
    </w:p>
    <w:p w:rsidR="008179D0" w:rsidRDefault="008179D0" w:rsidP="008179D0">
      <w:pPr>
        <w:numPr>
          <w:ilvl w:val="0"/>
          <w:numId w:val="11"/>
        </w:numPr>
        <w:spacing w:before="105" w:after="105" w:line="360" w:lineRule="auto"/>
      </w:pPr>
      <w:r>
        <w:rPr>
          <w:rFonts w:eastAsia="Georgia" w:hAnsi="Georgia" w:cs="Georgia"/>
          <w:color w:val="000000"/>
        </w:rPr>
        <w:t xml:space="preserve">Client KYC processes – all KYC must be performed exclusively via the </w:t>
      </w:r>
      <w:r w:rsidR="00C86983" w:rsidRPr="00C86983">
        <w:rPr>
          <w:rFonts w:eastAsia="Georgia" w:hAnsi="Georgia" w:cs="Georgia"/>
          <w:b/>
          <w:bCs/>
          <w:color w:val="000000"/>
          <w:highlight w:val="yellow"/>
        </w:rPr>
        <w:t>VIPUL KAUSHIK</w:t>
      </w:r>
      <w:r w:rsidRPr="00C86983">
        <w:rPr>
          <w:rFonts w:eastAsia="Georgia" w:hAnsi="Georgia" w:cs="Georgia"/>
          <w:b/>
          <w:bCs/>
          <w:color w:val="000000"/>
        </w:rPr>
        <w:t xml:space="preserve"> </w:t>
      </w:r>
      <w:r>
        <w:rPr>
          <w:rFonts w:eastAsia="Georgia" w:hAnsi="Georgia" w:cs="Georgia"/>
          <w:color w:val="000000"/>
        </w:rPr>
        <w:t>own KRA-registered portal (e.g., CDSL Ventures, CAMS KRA).</w:t>
      </w:r>
    </w:p>
    <w:p w:rsidR="008179D0" w:rsidRDefault="008179D0" w:rsidP="008179D0">
      <w:pPr>
        <w:numPr>
          <w:ilvl w:val="0"/>
          <w:numId w:val="11"/>
        </w:numPr>
        <w:spacing w:before="105" w:after="105" w:line="360" w:lineRule="auto"/>
      </w:pPr>
      <w:r>
        <w:rPr>
          <w:rFonts w:eastAsia="Georgia" w:hAnsi="Georgia" w:cs="Georgia"/>
          <w:color w:val="000000"/>
        </w:rPr>
        <w:t>Core client operations or interactions (e.g., advisory calls, grievance handling).</w:t>
      </w:r>
    </w:p>
    <w:p w:rsidR="008179D0" w:rsidRDefault="008179D0" w:rsidP="008179D0">
      <w:pPr>
        <w:numPr>
          <w:ilvl w:val="0"/>
          <w:numId w:val="11"/>
        </w:numPr>
        <w:spacing w:before="105" w:after="105" w:line="360" w:lineRule="auto"/>
      </w:pPr>
      <w:r>
        <w:rPr>
          <w:rFonts w:eastAsia="Georgia" w:hAnsi="Georgia" w:cs="Georgia"/>
          <w:color w:val="000000"/>
        </w:rPr>
        <w:t>Distribution or sub-licensing of the Firm's SEBI Research Analyst registration under any circumstances.</w:t>
      </w:r>
    </w:p>
    <w:p w:rsidR="008179D0" w:rsidRDefault="008179D0" w:rsidP="008179D0">
      <w:pPr>
        <w:spacing w:after="210" w:line="360" w:lineRule="auto"/>
      </w:pPr>
      <w:r>
        <w:rPr>
          <w:rFonts w:eastAsia="Georgia" w:hAnsi="Georgia" w:cs="Georgia"/>
          <w:color w:val="000000"/>
        </w:rPr>
        <w:t xml:space="preserve">All core activities must be conducted directly by the </w:t>
      </w:r>
      <w:r w:rsidR="007C2C9B" w:rsidRPr="00EC72FA">
        <w:rPr>
          <w:rFonts w:eastAsia="Georgia" w:hAnsi="Georgia" w:cs="Georgia"/>
          <w:b/>
          <w:bCs/>
          <w:color w:val="000000"/>
          <w:highlight w:val="yellow"/>
        </w:rPr>
        <w:t>R</w:t>
      </w:r>
      <w:r w:rsidR="00EC72FA" w:rsidRPr="00EC72FA">
        <w:rPr>
          <w:rFonts w:eastAsia="Georgia" w:hAnsi="Georgia" w:cs="Georgia"/>
          <w:b/>
          <w:bCs/>
          <w:color w:val="000000"/>
          <w:highlight w:val="yellow"/>
        </w:rPr>
        <w:t>ANAME</w:t>
      </w:r>
      <w:r>
        <w:rPr>
          <w:rFonts w:eastAsia="Georgia" w:hAnsi="Georgia" w:cs="Georgia"/>
          <w:color w:val="000000"/>
        </w:rPr>
        <w:t xml:space="preserve"> and supervised by the </w:t>
      </w:r>
      <w:r w:rsidRPr="0086643E">
        <w:rPr>
          <w:rFonts w:eastAsia="Georgia" w:hAnsi="Georgia" w:cs="Georgia"/>
          <w:b/>
          <w:bCs/>
          <w:color w:val="000000"/>
          <w:highlight w:val="yellow"/>
        </w:rPr>
        <w:t>Compliance Officer</w:t>
      </w:r>
      <w:r>
        <w:rPr>
          <w:rFonts w:eastAsia="Georgia" w:hAnsi="Georgia" w:cs="Georgia"/>
          <w:color w:val="000000"/>
        </w:rPr>
        <w:t>.</w:t>
      </w:r>
    </w:p>
    <w:p w:rsidR="008179D0" w:rsidRDefault="008179D0" w:rsidP="008179D0">
      <w:pPr>
        <w:spacing w:before="315" w:after="105" w:line="360" w:lineRule="auto"/>
        <w:ind w:left="-30"/>
      </w:pPr>
      <w:bookmarkStart w:id="6" w:name="bm_5_permissible_use_of_third_par_c8a54a"/>
      <w:r>
        <w:rPr>
          <w:rFonts w:eastAsia="Georgia" w:hAnsi="Georgia" w:cs="Georgia"/>
          <w:b/>
          <w:color w:val="000000"/>
          <w:sz w:val="24"/>
        </w:rPr>
        <w:t>4. Permissible Use of Third-Party Vendors/SaaS Solutions</w:t>
      </w:r>
      <w:bookmarkEnd w:id="6"/>
    </w:p>
    <w:p w:rsidR="008179D0" w:rsidRDefault="008179D0" w:rsidP="008179D0">
      <w:pPr>
        <w:spacing w:after="210" w:line="360" w:lineRule="auto"/>
      </w:pPr>
      <w:r>
        <w:rPr>
          <w:rFonts w:eastAsia="Georgia" w:hAnsi="Georgia" w:cs="Georgia"/>
          <w:color w:val="000000"/>
        </w:rPr>
        <w:t xml:space="preserve">The </w:t>
      </w:r>
      <w:r w:rsidR="00DE40A6" w:rsidRPr="00DE40A6">
        <w:rPr>
          <w:rFonts w:eastAsia="Georgia" w:hAnsi="Georgia" w:cs="Georgia"/>
          <w:b/>
          <w:bCs/>
          <w:color w:val="000000"/>
          <w:highlight w:val="yellow"/>
        </w:rPr>
        <w:t>VIPUL KAUSHIK</w:t>
      </w:r>
      <w:r>
        <w:rPr>
          <w:rFonts w:eastAsia="Georgia" w:hAnsi="Georgia" w:cs="Georgia"/>
          <w:color w:val="000000"/>
        </w:rPr>
        <w:t xml:space="preserve"> may engage compliant third-party vendors </w:t>
      </w:r>
      <w:r>
        <w:rPr>
          <w:rFonts w:eastAsia="Georgia" w:hAnsi="Georgia" w:cs="Georgia"/>
          <w:b/>
          <w:color w:val="000000"/>
        </w:rPr>
        <w:t>solely for non-core, ancillary functions</w:t>
      </w:r>
      <w:r>
        <w:rPr>
          <w:rFonts w:eastAsia="Georgia" w:hAnsi="Georgia" w:cs="Georgia"/>
          <w:color w:val="000000"/>
        </w:rPr>
        <w:t>, subject to due diligence, contractual safeguards, and Compliance Officer approval. Examples include:</w:t>
      </w:r>
    </w:p>
    <w:p w:rsidR="008179D0" w:rsidRDefault="008179D0" w:rsidP="008179D0">
      <w:pPr>
        <w:numPr>
          <w:ilvl w:val="0"/>
          <w:numId w:val="12"/>
        </w:numPr>
        <w:spacing w:before="105" w:after="105" w:line="360" w:lineRule="auto"/>
      </w:pPr>
      <w:r>
        <w:rPr>
          <w:rFonts w:eastAsia="Georgia" w:hAnsi="Georgia" w:cs="Georgia"/>
          <w:b/>
          <w:color w:val="000000"/>
        </w:rPr>
        <w:t>Client Information Collection</w:t>
      </w:r>
      <w:r>
        <w:rPr>
          <w:rFonts w:eastAsia="Georgia" w:hAnsi="Georgia" w:cs="Georgia"/>
          <w:color w:val="000000"/>
        </w:rPr>
        <w:t>: Vendors for capturing basic details (e.g., name, email, phone) via secure forms, ensuring data encryption and RBI-compliant storage.</w:t>
      </w:r>
    </w:p>
    <w:p w:rsidR="008179D0" w:rsidRDefault="008179D0" w:rsidP="008179D0">
      <w:pPr>
        <w:numPr>
          <w:ilvl w:val="0"/>
          <w:numId w:val="12"/>
        </w:numPr>
        <w:spacing w:before="105" w:after="105" w:line="360" w:lineRule="auto"/>
      </w:pPr>
      <w:r>
        <w:rPr>
          <w:rFonts w:eastAsia="Georgia" w:hAnsi="Georgia" w:cs="Georgia"/>
          <w:b/>
          <w:color w:val="000000"/>
        </w:rPr>
        <w:t>Client Consents and Compliance Tools</w:t>
      </w:r>
      <w:r>
        <w:rPr>
          <w:rFonts w:eastAsia="Georgia" w:hAnsi="Georgia" w:cs="Georgia"/>
          <w:color w:val="000000"/>
        </w:rPr>
        <w:t>: Platforms for electronic consents, email automation, and record-keeping to mitigate conflicts of interest during complaints.</w:t>
      </w:r>
    </w:p>
    <w:p w:rsidR="008179D0" w:rsidRDefault="008179D0" w:rsidP="008179D0">
      <w:pPr>
        <w:numPr>
          <w:ilvl w:val="0"/>
          <w:numId w:val="12"/>
        </w:numPr>
        <w:spacing w:before="105" w:after="105" w:line="360" w:lineRule="auto"/>
      </w:pPr>
      <w:r>
        <w:rPr>
          <w:rFonts w:eastAsia="Georgia" w:hAnsi="Georgia" w:cs="Georgia"/>
          <w:b/>
          <w:color w:val="000000"/>
        </w:rPr>
        <w:t>Payments and Invoicing</w:t>
      </w:r>
      <w:r>
        <w:rPr>
          <w:rFonts w:eastAsia="Georgia" w:hAnsi="Georgia" w:cs="Georgia"/>
          <w:color w:val="000000"/>
        </w:rPr>
        <w:t>: RBI-approved gateways or tied-up providers for collecting payments and issuing invoices. Client-sensitive data (e.g., PAN, bank details) must remain protected per RBI's Master Directions on Digital Payments.</w:t>
      </w:r>
    </w:p>
    <w:p w:rsidR="008179D0" w:rsidRDefault="008179D0" w:rsidP="008179D0">
      <w:pPr>
        <w:spacing w:after="210" w:line="360" w:lineRule="auto"/>
      </w:pPr>
      <w:r>
        <w:rPr>
          <w:rFonts w:eastAsia="Georgia" w:hAnsi="Georgia" w:cs="Georgia"/>
          <w:b/>
          <w:color w:val="000000"/>
        </w:rPr>
        <w:t>Vendor Selection Criteria</w:t>
      </w:r>
      <w:r>
        <w:rPr>
          <w:rFonts w:eastAsia="Georgia" w:hAnsi="Georgia" w:cs="Georgia"/>
          <w:color w:val="000000"/>
        </w:rPr>
        <w:t>:</w:t>
      </w:r>
    </w:p>
    <w:p w:rsidR="008179D0" w:rsidRDefault="008179D0" w:rsidP="008179D0">
      <w:pPr>
        <w:numPr>
          <w:ilvl w:val="0"/>
          <w:numId w:val="13"/>
        </w:numPr>
        <w:spacing w:before="105" w:after="105" w:line="360" w:lineRule="auto"/>
      </w:pPr>
      <w:r>
        <w:rPr>
          <w:rFonts w:eastAsia="Georgia" w:hAnsi="Georgia" w:cs="Georgia"/>
          <w:color w:val="000000"/>
        </w:rPr>
        <w:t xml:space="preserve">Must hold RBI approvals or tie-ups </w:t>
      </w:r>
      <w:r w:rsidR="00311BDD">
        <w:rPr>
          <w:rFonts w:eastAsia="Georgia" w:hAnsi="Georgia" w:cs="Georgia"/>
          <w:color w:val="000000"/>
        </w:rPr>
        <w:t>with an RBI-approved payment gateway</w:t>
      </w:r>
      <w:r>
        <w:rPr>
          <w:rFonts w:eastAsia="Georgia" w:hAnsi="Georgia" w:cs="Georgia"/>
          <w:color w:val="000000"/>
        </w:rPr>
        <w:t xml:space="preserve"> </w:t>
      </w:r>
      <w:r w:rsidR="00311BDD">
        <w:rPr>
          <w:rFonts w:eastAsia="Georgia" w:hAnsi="Georgia" w:cs="Georgia"/>
          <w:color w:val="000000"/>
        </w:rPr>
        <w:t xml:space="preserve">for </w:t>
      </w:r>
      <w:r>
        <w:rPr>
          <w:rFonts w:eastAsia="Georgia" w:hAnsi="Georgia" w:cs="Georgia"/>
          <w:color w:val="000000"/>
        </w:rPr>
        <w:t>payments/data handling.</w:t>
      </w:r>
    </w:p>
    <w:p w:rsidR="008179D0" w:rsidRDefault="008179D0" w:rsidP="008179D0">
      <w:pPr>
        <w:numPr>
          <w:ilvl w:val="0"/>
          <w:numId w:val="13"/>
        </w:numPr>
        <w:spacing w:before="105" w:after="105" w:line="360" w:lineRule="auto"/>
      </w:pPr>
      <w:r>
        <w:rPr>
          <w:rFonts w:eastAsia="Georgia" w:hAnsi="Georgia" w:cs="Georgia"/>
          <w:color w:val="000000"/>
        </w:rPr>
        <w:t>Subject to annual due diligence (e.g., SOC 2 certification, data privacy audits).</w:t>
      </w:r>
    </w:p>
    <w:p w:rsidR="008179D0" w:rsidRDefault="008179D0" w:rsidP="008179D0">
      <w:pPr>
        <w:numPr>
          <w:ilvl w:val="0"/>
          <w:numId w:val="13"/>
        </w:numPr>
        <w:spacing w:before="105" w:after="105" w:line="360" w:lineRule="auto"/>
      </w:pPr>
      <w:r>
        <w:rPr>
          <w:rFonts w:eastAsia="Georgia" w:hAnsi="Georgia" w:cs="Georgia"/>
          <w:color w:val="000000"/>
        </w:rPr>
        <w:t xml:space="preserve">Contracts must include data ownership clauses (data remains Firm's property), indemnity, audit rights, and </w:t>
      </w:r>
      <w:r w:rsidR="00754515">
        <w:rPr>
          <w:rFonts w:eastAsia="Georgia" w:hAnsi="Georgia" w:cs="Georgia"/>
          <w:color w:val="000000"/>
        </w:rPr>
        <w:t xml:space="preserve">a </w:t>
      </w:r>
      <w:r>
        <w:rPr>
          <w:rFonts w:eastAsia="Georgia" w:hAnsi="Georgia" w:cs="Georgia"/>
          <w:color w:val="000000"/>
        </w:rPr>
        <w:t>30-day termination notice.</w:t>
      </w:r>
    </w:p>
    <w:p w:rsidR="008179D0" w:rsidRDefault="008179D0" w:rsidP="008179D0">
      <w:pPr>
        <w:spacing w:after="210" w:line="360" w:lineRule="auto"/>
      </w:pPr>
      <w:r>
        <w:rPr>
          <w:rFonts w:eastAsia="Georgia" w:hAnsi="Georgia" w:cs="Georgia"/>
          <w:b/>
          <w:color w:val="000000"/>
        </w:rPr>
        <w:t>Costs</w:t>
      </w:r>
      <w:r>
        <w:rPr>
          <w:rFonts w:eastAsia="Georgia" w:hAnsi="Georgia" w:cs="Georgia"/>
          <w:color w:val="000000"/>
        </w:rPr>
        <w:t>: Vendors may charge a percentage of revenue or fixed fees</w:t>
      </w:r>
      <w:r w:rsidR="00C05106">
        <w:rPr>
          <w:rFonts w:eastAsia="Georgia" w:hAnsi="Georgia" w:cs="Georgia"/>
          <w:color w:val="000000"/>
        </w:rPr>
        <w:t xml:space="preserve"> for </w:t>
      </w:r>
      <w:r w:rsidR="00907842">
        <w:rPr>
          <w:rFonts w:eastAsia="Georgia" w:hAnsi="Georgia" w:cs="Georgia"/>
          <w:color w:val="000000"/>
        </w:rPr>
        <w:t>their</w:t>
      </w:r>
      <w:r w:rsidR="00C05106">
        <w:rPr>
          <w:rFonts w:eastAsia="Georgia" w:hAnsi="Georgia" w:cs="Georgia"/>
          <w:color w:val="000000"/>
        </w:rPr>
        <w:t xml:space="preserve"> services</w:t>
      </w:r>
      <w:r>
        <w:rPr>
          <w:rFonts w:eastAsia="Georgia" w:hAnsi="Georgia" w:cs="Georgia"/>
          <w:color w:val="000000"/>
        </w:rPr>
        <w:t>.</w:t>
      </w:r>
    </w:p>
    <w:p w:rsidR="008179D0" w:rsidRDefault="008179D0" w:rsidP="008179D0">
      <w:pPr>
        <w:spacing w:before="315" w:after="105" w:line="360" w:lineRule="auto"/>
        <w:ind w:left="-30"/>
      </w:pPr>
      <w:bookmarkStart w:id="7" w:name="bm_6_governance_and_oversight"/>
      <w:r>
        <w:rPr>
          <w:rFonts w:eastAsia="Georgia" w:hAnsi="Georgia" w:cs="Georgia"/>
          <w:b/>
          <w:color w:val="000000"/>
          <w:sz w:val="24"/>
        </w:rPr>
        <w:t>5. Governance and Oversight</w:t>
      </w:r>
      <w:bookmarkEnd w:id="7"/>
    </w:p>
    <w:p w:rsidR="008179D0" w:rsidRDefault="008179D0" w:rsidP="008179D0">
      <w:pPr>
        <w:numPr>
          <w:ilvl w:val="0"/>
          <w:numId w:val="14"/>
        </w:numPr>
        <w:spacing w:before="105" w:after="105" w:line="360" w:lineRule="auto"/>
      </w:pPr>
      <w:r>
        <w:rPr>
          <w:rFonts w:eastAsia="Georgia" w:hAnsi="Georgia" w:cs="Georgia"/>
          <w:b/>
          <w:color w:val="000000"/>
        </w:rPr>
        <w:t>Approval Process</w:t>
      </w:r>
      <w:r>
        <w:rPr>
          <w:rFonts w:eastAsia="Georgia" w:hAnsi="Georgia" w:cs="Georgia"/>
          <w:color w:val="000000"/>
        </w:rPr>
        <w:t>: All vendor engagements require pre-approval from the Compliance Officer and Principal Officer. Maintain a centralized Vendor Register with details (contract, fees, compliance status).</w:t>
      </w:r>
    </w:p>
    <w:p w:rsidR="008179D0" w:rsidRDefault="008179D0" w:rsidP="008179D0">
      <w:pPr>
        <w:numPr>
          <w:ilvl w:val="0"/>
          <w:numId w:val="14"/>
        </w:numPr>
        <w:spacing w:before="105" w:after="105" w:line="360" w:lineRule="auto"/>
      </w:pPr>
      <w:r>
        <w:rPr>
          <w:rFonts w:eastAsia="Georgia" w:hAnsi="Georgia" w:cs="Georgia"/>
          <w:b/>
          <w:color w:val="000000"/>
        </w:rPr>
        <w:t>Risk Management</w:t>
      </w:r>
      <w:r>
        <w:rPr>
          <w:rFonts w:eastAsia="Georgia" w:hAnsi="Georgia" w:cs="Georgia"/>
          <w:color w:val="000000"/>
        </w:rPr>
        <w:t>: Conduct quarterly reviews for data breaches, service disruptions, or regulatory changes. No client data sharing without explicit consent and encryption.</w:t>
      </w:r>
    </w:p>
    <w:p w:rsidR="008179D0" w:rsidRDefault="008179D0" w:rsidP="008179D0">
      <w:pPr>
        <w:numPr>
          <w:ilvl w:val="0"/>
          <w:numId w:val="14"/>
        </w:numPr>
        <w:spacing w:before="105" w:after="105" w:line="360" w:lineRule="auto"/>
      </w:pPr>
      <w:r>
        <w:rPr>
          <w:rFonts w:eastAsia="Georgia" w:hAnsi="Georgia" w:cs="Georgia"/>
          <w:b/>
          <w:color w:val="000000"/>
        </w:rPr>
        <w:t>Client Interaction Controls</w:t>
      </w:r>
      <w:r>
        <w:rPr>
          <w:rFonts w:eastAsia="Georgia" w:hAnsi="Georgia" w:cs="Georgia"/>
          <w:color w:val="000000"/>
        </w:rPr>
        <w:t xml:space="preserve">: All core communications occur directly via </w:t>
      </w:r>
      <w:r w:rsidR="00BB2D89" w:rsidRPr="00BB2D89">
        <w:rPr>
          <w:rFonts w:eastAsia="Georgia" w:hAnsi="Georgia" w:cs="Georgia"/>
          <w:b/>
          <w:bCs/>
          <w:color w:val="000000"/>
          <w:highlight w:val="yellow"/>
        </w:rPr>
        <w:t>VIPUL KAUSHIK</w:t>
      </w:r>
      <w:r>
        <w:rPr>
          <w:rFonts w:eastAsia="Georgia" w:hAnsi="Georgia" w:cs="Georgia"/>
          <w:color w:val="000000"/>
        </w:rPr>
        <w:t xml:space="preserve"> channels; third-party tools are for support only.</w:t>
      </w:r>
    </w:p>
    <w:p w:rsidR="008179D0" w:rsidRDefault="008179D0" w:rsidP="008179D0">
      <w:pPr>
        <w:numPr>
          <w:ilvl w:val="0"/>
          <w:numId w:val="14"/>
        </w:numPr>
        <w:spacing w:before="105" w:after="105" w:line="360" w:lineRule="auto"/>
      </w:pPr>
      <w:r>
        <w:rPr>
          <w:rFonts w:eastAsia="Georgia" w:hAnsi="Georgia" w:cs="Georgia"/>
          <w:b/>
          <w:color w:val="000000"/>
        </w:rPr>
        <w:t>Record-Keeping</w:t>
      </w:r>
      <w:r>
        <w:rPr>
          <w:rFonts w:eastAsia="Georgia" w:hAnsi="Georgia" w:cs="Georgia"/>
          <w:color w:val="000000"/>
        </w:rPr>
        <w:t>: Retain all outsourcing records (contracts, invoices, audits) for 5 years or as per SEBI retention norms.</w:t>
      </w:r>
    </w:p>
    <w:p w:rsidR="008179D0" w:rsidRDefault="008179D0" w:rsidP="008179D0">
      <w:pPr>
        <w:numPr>
          <w:ilvl w:val="0"/>
          <w:numId w:val="14"/>
        </w:numPr>
        <w:spacing w:before="105" w:after="105" w:line="360" w:lineRule="auto"/>
      </w:pPr>
      <w:r>
        <w:rPr>
          <w:rFonts w:eastAsia="Georgia" w:hAnsi="Georgia" w:cs="Georgia"/>
          <w:b/>
          <w:color w:val="000000"/>
        </w:rPr>
        <w:t>Training</w:t>
      </w:r>
      <w:r>
        <w:rPr>
          <w:rFonts w:eastAsia="Georgia" w:hAnsi="Georgia" w:cs="Georgia"/>
          <w:color w:val="000000"/>
        </w:rPr>
        <w:t>: Annual training for staff on this policy and SEBI RA Regulations.</w:t>
      </w:r>
    </w:p>
    <w:p w:rsidR="008179D0" w:rsidRDefault="008179D0" w:rsidP="008179D0">
      <w:pPr>
        <w:spacing w:before="315" w:after="105" w:line="360" w:lineRule="auto"/>
        <w:ind w:left="-30"/>
      </w:pPr>
      <w:bookmarkStart w:id="8" w:name="bm_7_violations_and_reporting"/>
      <w:r>
        <w:rPr>
          <w:rFonts w:eastAsia="Georgia" w:hAnsi="Georgia" w:cs="Georgia"/>
          <w:b/>
          <w:color w:val="000000"/>
          <w:sz w:val="24"/>
        </w:rPr>
        <w:t>6. Violations and Reporting</w:t>
      </w:r>
      <w:bookmarkEnd w:id="8"/>
    </w:p>
    <w:p w:rsidR="008179D0" w:rsidRDefault="008179D0" w:rsidP="008179D0">
      <w:pPr>
        <w:numPr>
          <w:ilvl w:val="0"/>
          <w:numId w:val="15"/>
        </w:numPr>
        <w:spacing w:before="105" w:after="105" w:line="360" w:lineRule="auto"/>
      </w:pPr>
      <w:r>
        <w:rPr>
          <w:rFonts w:eastAsia="Georgia" w:hAnsi="Georgia" w:cs="Georgia"/>
          <w:color w:val="000000"/>
        </w:rPr>
        <w:t>Breaches will result in disciplinary action, up to termination.</w:t>
      </w:r>
    </w:p>
    <w:p w:rsidR="008179D0" w:rsidRDefault="008179D0" w:rsidP="008179D0">
      <w:pPr>
        <w:numPr>
          <w:ilvl w:val="0"/>
          <w:numId w:val="15"/>
        </w:numPr>
        <w:spacing w:before="105" w:after="105" w:line="360" w:lineRule="auto"/>
      </w:pPr>
      <w:r>
        <w:rPr>
          <w:rFonts w:eastAsia="Georgia" w:hAnsi="Georgia" w:cs="Georgia"/>
          <w:color w:val="000000"/>
        </w:rPr>
        <w:t>Report suspected violations to the Compliance Officer immediately.</w:t>
      </w:r>
    </w:p>
    <w:p w:rsidR="008179D0" w:rsidRDefault="008179D0" w:rsidP="008179D0">
      <w:pPr>
        <w:numPr>
          <w:ilvl w:val="0"/>
          <w:numId w:val="15"/>
        </w:numPr>
        <w:spacing w:before="105" w:after="105" w:line="360" w:lineRule="auto"/>
      </w:pPr>
      <w:r>
        <w:rPr>
          <w:rFonts w:eastAsia="Georgia" w:hAnsi="Georgia" w:cs="Georgia"/>
          <w:color w:val="000000"/>
        </w:rPr>
        <w:t>The Compliance Officer will notify SEBI within 7 days of any material non-compliance.</w:t>
      </w:r>
    </w:p>
    <w:p w:rsidR="008179D0" w:rsidRDefault="008179D0" w:rsidP="008179D0">
      <w:pPr>
        <w:spacing w:before="315" w:after="105" w:line="360" w:lineRule="auto"/>
        <w:ind w:left="-30"/>
      </w:pPr>
      <w:bookmarkStart w:id="9" w:name="bm_8_review_and_amendments"/>
      <w:r>
        <w:rPr>
          <w:rFonts w:eastAsia="Georgia" w:hAnsi="Georgia" w:cs="Georgia"/>
          <w:b/>
          <w:color w:val="000000"/>
          <w:sz w:val="24"/>
        </w:rPr>
        <w:t>7. Review and Amendments</w:t>
      </w:r>
      <w:bookmarkEnd w:id="9"/>
    </w:p>
    <w:p w:rsidR="008179D0" w:rsidRDefault="008179D0" w:rsidP="008179D0">
      <w:pPr>
        <w:spacing w:after="210" w:line="360" w:lineRule="auto"/>
      </w:pPr>
      <w:r>
        <w:rPr>
          <w:rFonts w:eastAsia="Georgia" w:hAnsi="Georgia" w:cs="Georgia"/>
          <w:color w:val="000000"/>
        </w:rPr>
        <w:t>This policy will be reviewed annually or upon SEBI regulatory changes. Amendments require Compliance Officer approval.</w:t>
      </w:r>
    </w:p>
    <w:p w:rsidR="00213015" w:rsidRDefault="008179D0" w:rsidP="008179D0">
      <w:pPr>
        <w:spacing w:after="210" w:line="360" w:lineRule="auto"/>
        <w:rPr>
          <w:rFonts w:eastAsia="Georgia" w:hAnsi="Georgia" w:cs="Georgia"/>
          <w:color w:val="000000"/>
        </w:rPr>
      </w:pPr>
      <w:r>
        <w:rPr>
          <w:rFonts w:eastAsia="Georgia" w:hAnsi="Georgia" w:cs="Georgia"/>
          <w:b/>
          <w:color w:val="000000"/>
        </w:rPr>
        <w:t>Contact</w:t>
      </w:r>
      <w:r>
        <w:rPr>
          <w:rFonts w:eastAsia="Georgia" w:hAnsi="Georgia" w:cs="Georgia"/>
          <w:color w:val="000000"/>
        </w:rPr>
        <w:t>: Compliance Officer</w:t>
      </w:r>
    </w:p>
    <w:p w:rsidR="00213015" w:rsidRDefault="00213015" w:rsidP="008179D0">
      <w:pPr>
        <w:spacing w:after="210" w:line="360" w:lineRule="auto"/>
        <w:rPr>
          <w:rFonts w:eastAsia="Georgia" w:hAnsi="Georgia" w:cs="Georgia"/>
          <w:color w:val="000000"/>
        </w:rPr>
      </w:pPr>
      <w:r>
        <w:rPr>
          <w:rFonts w:eastAsia="Georgia" w:hAnsi="Georgia" w:cs="Georgia"/>
          <w:color w:val="000000"/>
        </w:rPr>
        <w:t xml:space="preserve">Name: </w:t>
      </w:r>
      <w:r w:rsidR="004948A0" w:rsidRPr="00A14682">
        <w:rPr>
          <w:b/>
          <w:color w:val="EE0000"/>
          <w:highlight w:val="yellow"/>
        </w:rPr>
        <w:t>KRISHNA MURTI</w:t>
      </w:r>
    </w:p>
    <w:p w:rsidR="00213015" w:rsidRDefault="00213015" w:rsidP="008179D0">
      <w:pPr>
        <w:spacing w:after="210" w:line="360" w:lineRule="auto"/>
        <w:rPr>
          <w:rFonts w:eastAsia="Georgia" w:hAnsi="Georgia" w:cs="Georgia"/>
          <w:color w:val="000000"/>
        </w:rPr>
      </w:pPr>
      <w:r>
        <w:rPr>
          <w:rFonts w:eastAsia="Georgia" w:hAnsi="Georgia" w:cs="Georgia"/>
          <w:color w:val="000000"/>
        </w:rPr>
        <w:t>Email:</w:t>
      </w:r>
      <w:r w:rsidR="009D6A26">
        <w:rPr>
          <w:rFonts w:eastAsia="Georgia" w:hAnsi="Georgia" w:cs="Georgia"/>
          <w:color w:val="000000"/>
        </w:rPr>
        <w:t xml:space="preserve"> </w:t>
      </w:r>
      <w:r w:rsidR="009D6A26" w:rsidRPr="009D6A26">
        <w:rPr>
          <w:rFonts w:eastAsia="Georgia" w:hAnsi="Georgia" w:cs="Georgia"/>
          <w:b/>
          <w:bCs/>
          <w:color w:val="EE0000"/>
          <w:highlight w:val="yellow"/>
        </w:rPr>
        <w:t>76696 79113</w:t>
      </w:r>
    </w:p>
    <w:p w:rsidR="008179D0" w:rsidRDefault="00213015" w:rsidP="008179D0">
      <w:pPr>
        <w:spacing w:after="210" w:line="360" w:lineRule="auto"/>
        <w:rPr>
          <w:rFonts w:eastAsia="Georgia" w:hAnsi="Georgia" w:cs="Georgia"/>
          <w:color w:val="000000"/>
        </w:rPr>
      </w:pPr>
      <w:r>
        <w:rPr>
          <w:rFonts w:eastAsia="Georgia" w:hAnsi="Georgia" w:cs="Georgia"/>
          <w:color w:val="000000"/>
        </w:rPr>
        <w:t>Phone:</w:t>
      </w:r>
      <w:r w:rsidR="003166BC">
        <w:rPr>
          <w:rFonts w:eastAsia="Georgia" w:hAnsi="Georgia" w:cs="Georgia"/>
          <w:color w:val="000000"/>
        </w:rPr>
        <w:t xml:space="preserve"> </w:t>
      </w:r>
      <w:r w:rsidR="003166BC" w:rsidRPr="003166BC">
        <w:rPr>
          <w:rFonts w:eastAsia="Georgia" w:hAnsi="Georgia" w:cs="Georgia"/>
          <w:b/>
          <w:bCs/>
          <w:color w:val="EE0000"/>
          <w:highlight w:val="yellow"/>
        </w:rPr>
        <w:t>vipultheresearchanalyst@gmail.com</w:t>
      </w:r>
    </w:p>
    <w:p w:rsidR="00213015" w:rsidRDefault="00213015" w:rsidP="008179D0">
      <w:pPr>
        <w:spacing w:after="210" w:line="360" w:lineRule="auto"/>
      </w:pPr>
      <w:r>
        <w:rPr>
          <w:rFonts w:eastAsia="Georgia" w:hAnsi="Georgia" w:cs="Georgia"/>
          <w:color w:val="000000"/>
        </w:rPr>
        <w:t xml:space="preserve">Website: </w:t>
      </w:r>
      <w:r w:rsidR="002C1B64" w:rsidRPr="00A14682">
        <w:rPr>
          <w:b/>
          <w:bCs/>
          <w:i/>
          <w:color w:val="EE0000"/>
          <w:highlight w:val="yellow"/>
        </w:rPr>
        <w:t>www.vipultheresearchanalyst.com</w:t>
      </w:r>
    </w:p>
    <w:p w:rsidR="00127569" w:rsidRPr="00127569" w:rsidRDefault="008179D0" w:rsidP="00E84B8A">
      <w:pPr>
        <w:spacing w:before="210" w:after="0" w:line="360" w:lineRule="auto"/>
      </w:pPr>
      <w:r>
        <w:rPr>
          <w:noProof/>
        </w:rPr>
      </w:r>
    </w:p>
    <w:sectPr w:rsidR="00127569" w:rsidRPr="00127569">
      <w:headerReference w:type="default" r:id="rId7"/>
      <w:footerReference w:type="default" r:id="rId8"/>
      <w:pgSz w:w="12240" w:h="15840"/>
      <w:pgMar w:top="1365" w:right="1365" w:bottom="1365" w:left="136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E7B15" w:rsidRDefault="00BE7B15" w:rsidP="00690FA8">
      <w:pPr>
        <w:spacing w:after="0" w:line="240" w:lineRule="auto"/>
      </w:pPr>
      <w:r>
        <w:separator/>
      </w:r>
    </w:p>
  </w:endnote>
  <w:endnote w:type="continuationSeparator" w:id="0">
    <w:p w:rsidR="00BE7B15" w:rsidRDefault="00BE7B15" w:rsidP="00690F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8456C" w:rsidRPr="00E8456C" w:rsidRDefault="00E8456C" w:rsidP="00E8456C">
    <w:pPr>
      <w:pStyle w:val="Footer"/>
      <w:jc w:val="center"/>
      <w:rPr>
        <w:b/>
        <w:bCs/>
        <w:color w:val="4472C4" w:themeColor="accent1"/>
        <w:lang w:val="en-IN"/>
      </w:rPr>
    </w:pPr>
    <w:r w:rsidRPr="00E8456C">
      <w:rPr>
        <w:b/>
        <w:bCs/>
        <w:color w:val="4472C4" w:themeColor="accent1"/>
        <w:lang w:val="en-IN"/>
      </w:rPr>
      <w:t>Address: Flat No 110, Plot No 31, Suruchi Apartment, Sector-10, Dwarka, New Delhi - 110075</w:t>
    </w:r>
  </w:p>
  <w:p w:rsidR="00E8456C" w:rsidRDefault="00E845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E7B15" w:rsidRDefault="00BE7B15" w:rsidP="00690FA8">
      <w:pPr>
        <w:spacing w:after="0" w:line="240" w:lineRule="auto"/>
      </w:pPr>
      <w:r>
        <w:separator/>
      </w:r>
    </w:p>
  </w:footnote>
  <w:footnote w:type="continuationSeparator" w:id="0">
    <w:p w:rsidR="00BE7B15" w:rsidRDefault="00BE7B15" w:rsidP="00690F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54712" w:rsidRPr="00054712" w:rsidRDefault="00054712" w:rsidP="00054712">
    <w:pPr>
      <w:pStyle w:val="Header"/>
      <w:jc w:val="center"/>
      <w:rPr>
        <w:b/>
        <w:bCs/>
      </w:rPr>
    </w:pPr>
    <w:r w:rsidRPr="00054712">
      <w:rPr>
        <w:b/>
        <w:bCs/>
        <w:lang w:val="en-GB"/>
      </w:rPr>
      <w:t xml:space="preserve">VIPUL KAUSHIK: </w:t>
    </w:r>
    <w:r w:rsidRPr="00054712">
      <w:rPr>
        <w:b/>
        <w:bCs/>
      </w:rPr>
      <w:t xml:space="preserve">INH000024116 (Research Analyst) </w:t>
    </w:r>
    <w:r w:rsidRPr="00054712">
      <w:rPr>
        <w:b/>
        <w:bCs/>
      </w:rPr>
      <w:br/>
    </w:r>
    <w:r w:rsidRPr="00054712">
      <w:rPr>
        <w:rFonts w:ascii="Segoe UI Emoji" w:hAnsi="Segoe UI Emoji" w:cs="Segoe UI Emoji"/>
        <w:b/>
        <w:bCs/>
        <w:lang w:val="en-GB"/>
      </w:rPr>
      <w:t>✅</w:t>
    </w:r>
    <w:r w:rsidRPr="00054712">
      <w:rPr>
        <w:b/>
        <w:bCs/>
      </w:rPr>
      <w:t>BSE Enlistment No.: 6861</w:t>
    </w:r>
  </w:p>
  <w:p w:rsidR="00054712" w:rsidRPr="00054712" w:rsidRDefault="00000000" w:rsidP="00054712">
    <w:pPr>
      <w:pStyle w:val="Header"/>
      <w:jc w:val="center"/>
      <w:rPr>
        <w:b/>
        <w:bCs/>
      </w:rPr>
    </w:pPr>
    <w:r>
      <w:rPr>
        <w:b/>
        <w:bCs/>
      </w:rPr>
    </w:r>
  </w:p>
  <w:p w:rsidR="00054712" w:rsidRDefault="000547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710D"/>
    <w:multiLevelType w:val="hybridMultilevel"/>
    <w:tmpl w:val="8F3A4DD0"/>
    <w:lvl w:ilvl="0" w:tplc="A06A8DD8">
      <w:start w:val="1"/>
      <w:numFmt w:val="bullet"/>
      <w:lvlText w:val=""/>
      <w:lvlJc w:val="left"/>
      <w:pPr>
        <w:tabs>
          <w:tab w:val="num" w:pos="900"/>
        </w:tabs>
        <w:ind w:left="540" w:hanging="360"/>
      </w:pPr>
      <w:rPr>
        <w:rFonts w:ascii="Symbol" w:hAnsi="Symbol" w:hint="default"/>
      </w:rPr>
    </w:lvl>
    <w:lvl w:ilvl="1" w:tplc="11681D8C">
      <w:numFmt w:val="decimal"/>
      <w:lvlText w:val=""/>
      <w:lvlJc w:val="left"/>
    </w:lvl>
    <w:lvl w:ilvl="2" w:tplc="E7A8AD2A">
      <w:numFmt w:val="decimal"/>
      <w:lvlText w:val=""/>
      <w:lvlJc w:val="left"/>
    </w:lvl>
    <w:lvl w:ilvl="3" w:tplc="CDB08302">
      <w:numFmt w:val="decimal"/>
      <w:lvlText w:val=""/>
      <w:lvlJc w:val="left"/>
    </w:lvl>
    <w:lvl w:ilvl="4" w:tplc="5BE4C290">
      <w:numFmt w:val="decimal"/>
      <w:lvlText w:val=""/>
      <w:lvlJc w:val="left"/>
    </w:lvl>
    <w:lvl w:ilvl="5" w:tplc="B686E118">
      <w:numFmt w:val="decimal"/>
      <w:lvlText w:val=""/>
      <w:lvlJc w:val="left"/>
    </w:lvl>
    <w:lvl w:ilvl="6" w:tplc="00540926">
      <w:numFmt w:val="decimal"/>
      <w:lvlText w:val=""/>
      <w:lvlJc w:val="left"/>
    </w:lvl>
    <w:lvl w:ilvl="7" w:tplc="652838EC">
      <w:numFmt w:val="decimal"/>
      <w:lvlText w:val=""/>
      <w:lvlJc w:val="left"/>
    </w:lvl>
    <w:lvl w:ilvl="8" w:tplc="38DCD31E">
      <w:numFmt w:val="decimal"/>
      <w:lvlText w:val=""/>
      <w:lvlJc w:val="left"/>
    </w:lvl>
  </w:abstractNum>
  <w:abstractNum w:abstractNumId="1" w15:restartNumberingAfterBreak="0">
    <w:nsid w:val="0E214D60"/>
    <w:multiLevelType w:val="hybridMultilevel"/>
    <w:tmpl w:val="65583A8E"/>
    <w:lvl w:ilvl="0" w:tplc="C6A093B0">
      <w:start w:val="1"/>
      <w:numFmt w:val="bullet"/>
      <w:lvlText w:val=""/>
      <w:lvlJc w:val="left"/>
      <w:pPr>
        <w:tabs>
          <w:tab w:val="num" w:pos="900"/>
        </w:tabs>
        <w:ind w:left="540" w:hanging="360"/>
      </w:pPr>
      <w:rPr>
        <w:rFonts w:ascii="Symbol" w:hAnsi="Symbol" w:hint="default"/>
      </w:rPr>
    </w:lvl>
    <w:lvl w:ilvl="1" w:tplc="71C05750">
      <w:numFmt w:val="decimal"/>
      <w:lvlText w:val=""/>
      <w:lvlJc w:val="left"/>
    </w:lvl>
    <w:lvl w:ilvl="2" w:tplc="0428C3A8">
      <w:numFmt w:val="decimal"/>
      <w:lvlText w:val=""/>
      <w:lvlJc w:val="left"/>
    </w:lvl>
    <w:lvl w:ilvl="3" w:tplc="7F460D5C">
      <w:numFmt w:val="decimal"/>
      <w:lvlText w:val=""/>
      <w:lvlJc w:val="left"/>
    </w:lvl>
    <w:lvl w:ilvl="4" w:tplc="D80836D8">
      <w:numFmt w:val="decimal"/>
      <w:lvlText w:val=""/>
      <w:lvlJc w:val="left"/>
    </w:lvl>
    <w:lvl w:ilvl="5" w:tplc="61F69FFA">
      <w:numFmt w:val="decimal"/>
      <w:lvlText w:val=""/>
      <w:lvlJc w:val="left"/>
    </w:lvl>
    <w:lvl w:ilvl="6" w:tplc="DE203226">
      <w:numFmt w:val="decimal"/>
      <w:lvlText w:val=""/>
      <w:lvlJc w:val="left"/>
    </w:lvl>
    <w:lvl w:ilvl="7" w:tplc="53CE7ADE">
      <w:numFmt w:val="decimal"/>
      <w:lvlText w:val=""/>
      <w:lvlJc w:val="left"/>
    </w:lvl>
    <w:lvl w:ilvl="8" w:tplc="3A320A0C">
      <w:numFmt w:val="decimal"/>
      <w:lvlText w:val=""/>
      <w:lvlJc w:val="left"/>
    </w:lvl>
  </w:abstractNum>
  <w:abstractNum w:abstractNumId="2" w15:restartNumberingAfterBreak="0">
    <w:nsid w:val="0F113712"/>
    <w:multiLevelType w:val="hybridMultilevel"/>
    <w:tmpl w:val="D3EED342"/>
    <w:lvl w:ilvl="0" w:tplc="47CA82FE">
      <w:start w:val="1"/>
      <w:numFmt w:val="decimal"/>
      <w:lvlText w:val="%1."/>
      <w:lvlJc w:val="left"/>
      <w:pPr>
        <w:tabs>
          <w:tab w:val="num" w:pos="900"/>
        </w:tabs>
        <w:ind w:left="540" w:hanging="360"/>
      </w:pPr>
    </w:lvl>
    <w:lvl w:ilvl="1" w:tplc="ECE0F3BA">
      <w:numFmt w:val="decimal"/>
      <w:lvlText w:val=""/>
      <w:lvlJc w:val="left"/>
    </w:lvl>
    <w:lvl w:ilvl="2" w:tplc="E0361B46">
      <w:numFmt w:val="decimal"/>
      <w:lvlText w:val=""/>
      <w:lvlJc w:val="left"/>
    </w:lvl>
    <w:lvl w:ilvl="3" w:tplc="ADE846D8">
      <w:numFmt w:val="decimal"/>
      <w:lvlText w:val=""/>
      <w:lvlJc w:val="left"/>
    </w:lvl>
    <w:lvl w:ilvl="4" w:tplc="18C8FA30">
      <w:numFmt w:val="decimal"/>
      <w:lvlText w:val=""/>
      <w:lvlJc w:val="left"/>
    </w:lvl>
    <w:lvl w:ilvl="5" w:tplc="CCE86C7C">
      <w:numFmt w:val="decimal"/>
      <w:lvlText w:val=""/>
      <w:lvlJc w:val="left"/>
    </w:lvl>
    <w:lvl w:ilvl="6" w:tplc="3EE2F38C">
      <w:numFmt w:val="decimal"/>
      <w:lvlText w:val=""/>
      <w:lvlJc w:val="left"/>
    </w:lvl>
    <w:lvl w:ilvl="7" w:tplc="C2F002DE">
      <w:numFmt w:val="decimal"/>
      <w:lvlText w:val=""/>
      <w:lvlJc w:val="left"/>
    </w:lvl>
    <w:lvl w:ilvl="8" w:tplc="5EFEBC92">
      <w:numFmt w:val="decimal"/>
      <w:lvlText w:val=""/>
      <w:lvlJc w:val="left"/>
    </w:lvl>
  </w:abstractNum>
  <w:abstractNum w:abstractNumId="3" w15:restartNumberingAfterBreak="0">
    <w:nsid w:val="1A8C258D"/>
    <w:multiLevelType w:val="hybridMultilevel"/>
    <w:tmpl w:val="83028AFE"/>
    <w:lvl w:ilvl="0" w:tplc="AC723404">
      <w:start w:val="1"/>
      <w:numFmt w:val="bullet"/>
      <w:lvlText w:val=""/>
      <w:lvlJc w:val="left"/>
      <w:pPr>
        <w:tabs>
          <w:tab w:val="num" w:pos="900"/>
        </w:tabs>
        <w:ind w:left="540" w:hanging="360"/>
      </w:pPr>
      <w:rPr>
        <w:rFonts w:ascii="Symbol" w:hAnsi="Symbol" w:hint="default"/>
      </w:rPr>
    </w:lvl>
    <w:lvl w:ilvl="1" w:tplc="0604117E">
      <w:numFmt w:val="decimal"/>
      <w:lvlText w:val=""/>
      <w:lvlJc w:val="left"/>
    </w:lvl>
    <w:lvl w:ilvl="2" w:tplc="6DD286CE">
      <w:numFmt w:val="decimal"/>
      <w:lvlText w:val=""/>
      <w:lvlJc w:val="left"/>
    </w:lvl>
    <w:lvl w:ilvl="3" w:tplc="2954C852">
      <w:numFmt w:val="decimal"/>
      <w:lvlText w:val=""/>
      <w:lvlJc w:val="left"/>
    </w:lvl>
    <w:lvl w:ilvl="4" w:tplc="A14AFB0A">
      <w:numFmt w:val="decimal"/>
      <w:lvlText w:val=""/>
      <w:lvlJc w:val="left"/>
    </w:lvl>
    <w:lvl w:ilvl="5" w:tplc="4F9A44B6">
      <w:numFmt w:val="decimal"/>
      <w:lvlText w:val=""/>
      <w:lvlJc w:val="left"/>
    </w:lvl>
    <w:lvl w:ilvl="6" w:tplc="7BD65EEC">
      <w:numFmt w:val="decimal"/>
      <w:lvlText w:val=""/>
      <w:lvlJc w:val="left"/>
    </w:lvl>
    <w:lvl w:ilvl="7" w:tplc="059EFD42">
      <w:numFmt w:val="decimal"/>
      <w:lvlText w:val=""/>
      <w:lvlJc w:val="left"/>
    </w:lvl>
    <w:lvl w:ilvl="8" w:tplc="5EDEE23A">
      <w:numFmt w:val="decimal"/>
      <w:lvlText w:val=""/>
      <w:lvlJc w:val="left"/>
    </w:lvl>
  </w:abstractNum>
  <w:abstractNum w:abstractNumId="4" w15:restartNumberingAfterBreak="0">
    <w:nsid w:val="1FE41B42"/>
    <w:multiLevelType w:val="hybridMultilevel"/>
    <w:tmpl w:val="B91ACF3A"/>
    <w:lvl w:ilvl="0" w:tplc="97CAA4F4">
      <w:start w:val="1"/>
      <w:numFmt w:val="decimal"/>
      <w:lvlText w:val="%1."/>
      <w:lvlJc w:val="left"/>
      <w:pPr>
        <w:tabs>
          <w:tab w:val="num" w:pos="900"/>
        </w:tabs>
        <w:ind w:left="540" w:hanging="360"/>
      </w:pPr>
    </w:lvl>
    <w:lvl w:ilvl="1" w:tplc="C982143C">
      <w:numFmt w:val="decimal"/>
      <w:lvlText w:val=""/>
      <w:lvlJc w:val="left"/>
    </w:lvl>
    <w:lvl w:ilvl="2" w:tplc="C1D476F0">
      <w:numFmt w:val="decimal"/>
      <w:lvlText w:val=""/>
      <w:lvlJc w:val="left"/>
    </w:lvl>
    <w:lvl w:ilvl="3" w:tplc="45AE788C">
      <w:numFmt w:val="decimal"/>
      <w:lvlText w:val=""/>
      <w:lvlJc w:val="left"/>
    </w:lvl>
    <w:lvl w:ilvl="4" w:tplc="1346C7BC">
      <w:numFmt w:val="decimal"/>
      <w:lvlText w:val=""/>
      <w:lvlJc w:val="left"/>
    </w:lvl>
    <w:lvl w:ilvl="5" w:tplc="EB084416">
      <w:numFmt w:val="decimal"/>
      <w:lvlText w:val=""/>
      <w:lvlJc w:val="left"/>
    </w:lvl>
    <w:lvl w:ilvl="6" w:tplc="882463D2">
      <w:numFmt w:val="decimal"/>
      <w:lvlText w:val=""/>
      <w:lvlJc w:val="left"/>
    </w:lvl>
    <w:lvl w:ilvl="7" w:tplc="080C20A8">
      <w:numFmt w:val="decimal"/>
      <w:lvlText w:val=""/>
      <w:lvlJc w:val="left"/>
    </w:lvl>
    <w:lvl w:ilvl="8" w:tplc="2B642606">
      <w:numFmt w:val="decimal"/>
      <w:lvlText w:val=""/>
      <w:lvlJc w:val="left"/>
    </w:lvl>
  </w:abstractNum>
  <w:abstractNum w:abstractNumId="5" w15:restartNumberingAfterBreak="0">
    <w:nsid w:val="204D609E"/>
    <w:multiLevelType w:val="hybridMultilevel"/>
    <w:tmpl w:val="C068E5E6"/>
    <w:lvl w:ilvl="0" w:tplc="57FE3E9A">
      <w:start w:val="1"/>
      <w:numFmt w:val="bullet"/>
      <w:lvlText w:val=""/>
      <w:lvlJc w:val="left"/>
      <w:pPr>
        <w:tabs>
          <w:tab w:val="num" w:pos="900"/>
        </w:tabs>
        <w:ind w:left="540" w:hanging="360"/>
      </w:pPr>
      <w:rPr>
        <w:rFonts w:ascii="Symbol" w:hAnsi="Symbol" w:hint="default"/>
      </w:rPr>
    </w:lvl>
    <w:lvl w:ilvl="1" w:tplc="197E5F64">
      <w:numFmt w:val="decimal"/>
      <w:lvlText w:val=""/>
      <w:lvlJc w:val="left"/>
    </w:lvl>
    <w:lvl w:ilvl="2" w:tplc="03A4F90C">
      <w:numFmt w:val="decimal"/>
      <w:lvlText w:val=""/>
      <w:lvlJc w:val="left"/>
    </w:lvl>
    <w:lvl w:ilvl="3" w:tplc="EA9270E6">
      <w:numFmt w:val="decimal"/>
      <w:lvlText w:val=""/>
      <w:lvlJc w:val="left"/>
    </w:lvl>
    <w:lvl w:ilvl="4" w:tplc="AD58AF76">
      <w:numFmt w:val="decimal"/>
      <w:lvlText w:val=""/>
      <w:lvlJc w:val="left"/>
    </w:lvl>
    <w:lvl w:ilvl="5" w:tplc="D2AA5BF8">
      <w:numFmt w:val="decimal"/>
      <w:lvlText w:val=""/>
      <w:lvlJc w:val="left"/>
    </w:lvl>
    <w:lvl w:ilvl="6" w:tplc="D4EE299C">
      <w:numFmt w:val="decimal"/>
      <w:lvlText w:val=""/>
      <w:lvlJc w:val="left"/>
    </w:lvl>
    <w:lvl w:ilvl="7" w:tplc="C0B44328">
      <w:numFmt w:val="decimal"/>
      <w:lvlText w:val=""/>
      <w:lvlJc w:val="left"/>
    </w:lvl>
    <w:lvl w:ilvl="8" w:tplc="C70251A6">
      <w:numFmt w:val="decimal"/>
      <w:lvlText w:val=""/>
      <w:lvlJc w:val="left"/>
    </w:lvl>
  </w:abstractNum>
  <w:abstractNum w:abstractNumId="6" w15:restartNumberingAfterBreak="0">
    <w:nsid w:val="21D36160"/>
    <w:multiLevelType w:val="hybridMultilevel"/>
    <w:tmpl w:val="F2DEE388"/>
    <w:lvl w:ilvl="0" w:tplc="657CA894">
      <w:start w:val="1"/>
      <w:numFmt w:val="bullet"/>
      <w:lvlText w:val=""/>
      <w:lvlJc w:val="left"/>
      <w:pPr>
        <w:tabs>
          <w:tab w:val="num" w:pos="900"/>
        </w:tabs>
        <w:ind w:left="540" w:hanging="360"/>
      </w:pPr>
      <w:rPr>
        <w:rFonts w:ascii="Symbol" w:hAnsi="Symbol" w:hint="default"/>
      </w:rPr>
    </w:lvl>
    <w:lvl w:ilvl="1" w:tplc="E734409A">
      <w:numFmt w:val="decimal"/>
      <w:lvlText w:val=""/>
      <w:lvlJc w:val="left"/>
    </w:lvl>
    <w:lvl w:ilvl="2" w:tplc="DA5200C2">
      <w:numFmt w:val="decimal"/>
      <w:lvlText w:val=""/>
      <w:lvlJc w:val="left"/>
    </w:lvl>
    <w:lvl w:ilvl="3" w:tplc="6DEC6474">
      <w:numFmt w:val="decimal"/>
      <w:lvlText w:val=""/>
      <w:lvlJc w:val="left"/>
    </w:lvl>
    <w:lvl w:ilvl="4" w:tplc="40F0BC28">
      <w:numFmt w:val="decimal"/>
      <w:lvlText w:val=""/>
      <w:lvlJc w:val="left"/>
    </w:lvl>
    <w:lvl w:ilvl="5" w:tplc="D2FA53F4">
      <w:numFmt w:val="decimal"/>
      <w:lvlText w:val=""/>
      <w:lvlJc w:val="left"/>
    </w:lvl>
    <w:lvl w:ilvl="6" w:tplc="3CB6864A">
      <w:numFmt w:val="decimal"/>
      <w:lvlText w:val=""/>
      <w:lvlJc w:val="left"/>
    </w:lvl>
    <w:lvl w:ilvl="7" w:tplc="4FD28B52">
      <w:numFmt w:val="decimal"/>
      <w:lvlText w:val=""/>
      <w:lvlJc w:val="left"/>
    </w:lvl>
    <w:lvl w:ilvl="8" w:tplc="523C467A">
      <w:numFmt w:val="decimal"/>
      <w:lvlText w:val=""/>
      <w:lvlJc w:val="left"/>
    </w:lvl>
  </w:abstractNum>
  <w:abstractNum w:abstractNumId="7" w15:restartNumberingAfterBreak="0">
    <w:nsid w:val="32760A97"/>
    <w:multiLevelType w:val="hybridMultilevel"/>
    <w:tmpl w:val="01DC9D12"/>
    <w:lvl w:ilvl="0" w:tplc="3934E264">
      <w:start w:val="1"/>
      <w:numFmt w:val="bullet"/>
      <w:lvlText w:val=""/>
      <w:lvlJc w:val="left"/>
      <w:pPr>
        <w:tabs>
          <w:tab w:val="num" w:pos="900"/>
        </w:tabs>
        <w:ind w:left="540" w:hanging="360"/>
      </w:pPr>
      <w:rPr>
        <w:rFonts w:ascii="Symbol" w:hAnsi="Symbol" w:hint="default"/>
      </w:rPr>
    </w:lvl>
    <w:lvl w:ilvl="1" w:tplc="AF861B54">
      <w:numFmt w:val="decimal"/>
      <w:lvlText w:val=""/>
      <w:lvlJc w:val="left"/>
    </w:lvl>
    <w:lvl w:ilvl="2" w:tplc="C80288A8">
      <w:numFmt w:val="decimal"/>
      <w:lvlText w:val=""/>
      <w:lvlJc w:val="left"/>
    </w:lvl>
    <w:lvl w:ilvl="3" w:tplc="1984316C">
      <w:numFmt w:val="decimal"/>
      <w:lvlText w:val=""/>
      <w:lvlJc w:val="left"/>
    </w:lvl>
    <w:lvl w:ilvl="4" w:tplc="508A19CC">
      <w:numFmt w:val="decimal"/>
      <w:lvlText w:val=""/>
      <w:lvlJc w:val="left"/>
    </w:lvl>
    <w:lvl w:ilvl="5" w:tplc="EC2A858A">
      <w:numFmt w:val="decimal"/>
      <w:lvlText w:val=""/>
      <w:lvlJc w:val="left"/>
    </w:lvl>
    <w:lvl w:ilvl="6" w:tplc="99A83BE6">
      <w:numFmt w:val="decimal"/>
      <w:lvlText w:val=""/>
      <w:lvlJc w:val="left"/>
    </w:lvl>
    <w:lvl w:ilvl="7" w:tplc="4E1CD880">
      <w:numFmt w:val="decimal"/>
      <w:lvlText w:val=""/>
      <w:lvlJc w:val="left"/>
    </w:lvl>
    <w:lvl w:ilvl="8" w:tplc="60BCA9E4">
      <w:numFmt w:val="decimal"/>
      <w:lvlText w:val=""/>
      <w:lvlJc w:val="left"/>
    </w:lvl>
  </w:abstractNum>
  <w:abstractNum w:abstractNumId="8" w15:restartNumberingAfterBreak="0">
    <w:nsid w:val="438A3ED3"/>
    <w:multiLevelType w:val="hybridMultilevel"/>
    <w:tmpl w:val="AD042590"/>
    <w:lvl w:ilvl="0" w:tplc="79F0733E">
      <w:start w:val="1"/>
      <w:numFmt w:val="bullet"/>
      <w:lvlText w:val=""/>
      <w:lvlJc w:val="left"/>
      <w:pPr>
        <w:tabs>
          <w:tab w:val="num" w:pos="900"/>
        </w:tabs>
        <w:ind w:left="540" w:hanging="360"/>
      </w:pPr>
      <w:rPr>
        <w:rFonts w:ascii="Symbol" w:hAnsi="Symbol" w:hint="default"/>
      </w:rPr>
    </w:lvl>
    <w:lvl w:ilvl="1" w:tplc="832C9F60">
      <w:numFmt w:val="decimal"/>
      <w:lvlText w:val=""/>
      <w:lvlJc w:val="left"/>
    </w:lvl>
    <w:lvl w:ilvl="2" w:tplc="8D18498E">
      <w:numFmt w:val="decimal"/>
      <w:lvlText w:val=""/>
      <w:lvlJc w:val="left"/>
    </w:lvl>
    <w:lvl w:ilvl="3" w:tplc="2368D76E">
      <w:numFmt w:val="decimal"/>
      <w:lvlText w:val=""/>
      <w:lvlJc w:val="left"/>
    </w:lvl>
    <w:lvl w:ilvl="4" w:tplc="49269AF2">
      <w:numFmt w:val="decimal"/>
      <w:lvlText w:val=""/>
      <w:lvlJc w:val="left"/>
    </w:lvl>
    <w:lvl w:ilvl="5" w:tplc="A32EA4C6">
      <w:numFmt w:val="decimal"/>
      <w:lvlText w:val=""/>
      <w:lvlJc w:val="left"/>
    </w:lvl>
    <w:lvl w:ilvl="6" w:tplc="CBD8A70C">
      <w:numFmt w:val="decimal"/>
      <w:lvlText w:val=""/>
      <w:lvlJc w:val="left"/>
    </w:lvl>
    <w:lvl w:ilvl="7" w:tplc="E918E7C2">
      <w:numFmt w:val="decimal"/>
      <w:lvlText w:val=""/>
      <w:lvlJc w:val="left"/>
    </w:lvl>
    <w:lvl w:ilvl="8" w:tplc="AEE4FC14">
      <w:numFmt w:val="decimal"/>
      <w:lvlText w:val=""/>
      <w:lvlJc w:val="left"/>
    </w:lvl>
  </w:abstractNum>
  <w:abstractNum w:abstractNumId="9" w15:restartNumberingAfterBreak="0">
    <w:nsid w:val="4902127F"/>
    <w:multiLevelType w:val="hybridMultilevel"/>
    <w:tmpl w:val="8FF2D15C"/>
    <w:lvl w:ilvl="0" w:tplc="35463152">
      <w:start w:val="1"/>
      <w:numFmt w:val="bullet"/>
      <w:lvlText w:val=""/>
      <w:lvlJc w:val="left"/>
      <w:pPr>
        <w:tabs>
          <w:tab w:val="num" w:pos="900"/>
        </w:tabs>
        <w:ind w:left="540" w:hanging="360"/>
      </w:pPr>
      <w:rPr>
        <w:rFonts w:ascii="Symbol" w:hAnsi="Symbol" w:hint="default"/>
      </w:rPr>
    </w:lvl>
    <w:lvl w:ilvl="1" w:tplc="9214A5EC">
      <w:numFmt w:val="decimal"/>
      <w:lvlText w:val=""/>
      <w:lvlJc w:val="left"/>
    </w:lvl>
    <w:lvl w:ilvl="2" w:tplc="BF9E9EB8">
      <w:numFmt w:val="decimal"/>
      <w:lvlText w:val=""/>
      <w:lvlJc w:val="left"/>
    </w:lvl>
    <w:lvl w:ilvl="3" w:tplc="7144BB48">
      <w:numFmt w:val="decimal"/>
      <w:lvlText w:val=""/>
      <w:lvlJc w:val="left"/>
    </w:lvl>
    <w:lvl w:ilvl="4" w:tplc="5B180876">
      <w:numFmt w:val="decimal"/>
      <w:lvlText w:val=""/>
      <w:lvlJc w:val="left"/>
    </w:lvl>
    <w:lvl w:ilvl="5" w:tplc="0F581D22">
      <w:numFmt w:val="decimal"/>
      <w:lvlText w:val=""/>
      <w:lvlJc w:val="left"/>
    </w:lvl>
    <w:lvl w:ilvl="6" w:tplc="1C8A1E9E">
      <w:numFmt w:val="decimal"/>
      <w:lvlText w:val=""/>
      <w:lvlJc w:val="left"/>
    </w:lvl>
    <w:lvl w:ilvl="7" w:tplc="11703A26">
      <w:numFmt w:val="decimal"/>
      <w:lvlText w:val=""/>
      <w:lvlJc w:val="left"/>
    </w:lvl>
    <w:lvl w:ilvl="8" w:tplc="2F9A855C">
      <w:numFmt w:val="decimal"/>
      <w:lvlText w:val=""/>
      <w:lvlJc w:val="left"/>
    </w:lvl>
  </w:abstractNum>
  <w:abstractNum w:abstractNumId="10" w15:restartNumberingAfterBreak="0">
    <w:nsid w:val="543255C8"/>
    <w:multiLevelType w:val="hybridMultilevel"/>
    <w:tmpl w:val="60FE6292"/>
    <w:lvl w:ilvl="0" w:tplc="EE76B636">
      <w:start w:val="1"/>
      <w:numFmt w:val="bullet"/>
      <w:lvlText w:val=""/>
      <w:lvlJc w:val="left"/>
      <w:pPr>
        <w:tabs>
          <w:tab w:val="num" w:pos="900"/>
        </w:tabs>
        <w:ind w:left="540" w:hanging="360"/>
      </w:pPr>
      <w:rPr>
        <w:rFonts w:ascii="Symbol" w:hAnsi="Symbol" w:hint="default"/>
      </w:rPr>
    </w:lvl>
    <w:lvl w:ilvl="1" w:tplc="E64EE424">
      <w:numFmt w:val="decimal"/>
      <w:lvlText w:val=""/>
      <w:lvlJc w:val="left"/>
    </w:lvl>
    <w:lvl w:ilvl="2" w:tplc="E2D2306A">
      <w:numFmt w:val="decimal"/>
      <w:lvlText w:val=""/>
      <w:lvlJc w:val="left"/>
    </w:lvl>
    <w:lvl w:ilvl="3" w:tplc="B5E6B8D0">
      <w:numFmt w:val="decimal"/>
      <w:lvlText w:val=""/>
      <w:lvlJc w:val="left"/>
    </w:lvl>
    <w:lvl w:ilvl="4" w:tplc="7ADA8982">
      <w:numFmt w:val="decimal"/>
      <w:lvlText w:val=""/>
      <w:lvlJc w:val="left"/>
    </w:lvl>
    <w:lvl w:ilvl="5" w:tplc="D3CE0AB4">
      <w:numFmt w:val="decimal"/>
      <w:lvlText w:val=""/>
      <w:lvlJc w:val="left"/>
    </w:lvl>
    <w:lvl w:ilvl="6" w:tplc="E90AB894">
      <w:numFmt w:val="decimal"/>
      <w:lvlText w:val=""/>
      <w:lvlJc w:val="left"/>
    </w:lvl>
    <w:lvl w:ilvl="7" w:tplc="9064F02E">
      <w:numFmt w:val="decimal"/>
      <w:lvlText w:val=""/>
      <w:lvlJc w:val="left"/>
    </w:lvl>
    <w:lvl w:ilvl="8" w:tplc="9F3E94A8">
      <w:numFmt w:val="decimal"/>
      <w:lvlText w:val=""/>
      <w:lvlJc w:val="left"/>
    </w:lvl>
  </w:abstractNum>
  <w:abstractNum w:abstractNumId="11" w15:restartNumberingAfterBreak="0">
    <w:nsid w:val="59641D2E"/>
    <w:multiLevelType w:val="hybridMultilevel"/>
    <w:tmpl w:val="44CCC6FE"/>
    <w:lvl w:ilvl="0" w:tplc="B892650A">
      <w:start w:val="1"/>
      <w:numFmt w:val="bullet"/>
      <w:lvlText w:val=""/>
      <w:lvlJc w:val="left"/>
      <w:pPr>
        <w:tabs>
          <w:tab w:val="num" w:pos="900"/>
        </w:tabs>
        <w:ind w:left="540" w:hanging="360"/>
      </w:pPr>
      <w:rPr>
        <w:rFonts w:ascii="Symbol" w:hAnsi="Symbol" w:hint="default"/>
      </w:rPr>
    </w:lvl>
    <w:lvl w:ilvl="1" w:tplc="9820A3B2">
      <w:numFmt w:val="decimal"/>
      <w:lvlText w:val=""/>
      <w:lvlJc w:val="left"/>
    </w:lvl>
    <w:lvl w:ilvl="2" w:tplc="8BCEF582">
      <w:numFmt w:val="decimal"/>
      <w:lvlText w:val=""/>
      <w:lvlJc w:val="left"/>
    </w:lvl>
    <w:lvl w:ilvl="3" w:tplc="3D821F7A">
      <w:numFmt w:val="decimal"/>
      <w:lvlText w:val=""/>
      <w:lvlJc w:val="left"/>
    </w:lvl>
    <w:lvl w:ilvl="4" w:tplc="0A62960C">
      <w:numFmt w:val="decimal"/>
      <w:lvlText w:val=""/>
      <w:lvlJc w:val="left"/>
    </w:lvl>
    <w:lvl w:ilvl="5" w:tplc="C1461B84">
      <w:numFmt w:val="decimal"/>
      <w:lvlText w:val=""/>
      <w:lvlJc w:val="left"/>
    </w:lvl>
    <w:lvl w:ilvl="6" w:tplc="EF1A4DF8">
      <w:numFmt w:val="decimal"/>
      <w:lvlText w:val=""/>
      <w:lvlJc w:val="left"/>
    </w:lvl>
    <w:lvl w:ilvl="7" w:tplc="8F2C280A">
      <w:numFmt w:val="decimal"/>
      <w:lvlText w:val=""/>
      <w:lvlJc w:val="left"/>
    </w:lvl>
    <w:lvl w:ilvl="8" w:tplc="95961270">
      <w:numFmt w:val="decimal"/>
      <w:lvlText w:val=""/>
      <w:lvlJc w:val="left"/>
    </w:lvl>
  </w:abstractNum>
  <w:abstractNum w:abstractNumId="12" w15:restartNumberingAfterBreak="0">
    <w:nsid w:val="67527004"/>
    <w:multiLevelType w:val="hybridMultilevel"/>
    <w:tmpl w:val="249E333A"/>
    <w:lvl w:ilvl="0" w:tplc="C4546F20">
      <w:start w:val="1"/>
      <w:numFmt w:val="bullet"/>
      <w:lvlText w:val=""/>
      <w:lvlJc w:val="left"/>
      <w:pPr>
        <w:tabs>
          <w:tab w:val="num" w:pos="900"/>
        </w:tabs>
        <w:ind w:left="540" w:hanging="360"/>
      </w:pPr>
      <w:rPr>
        <w:rFonts w:ascii="Symbol" w:hAnsi="Symbol" w:hint="default"/>
      </w:rPr>
    </w:lvl>
    <w:lvl w:ilvl="1" w:tplc="79345CAC">
      <w:numFmt w:val="decimal"/>
      <w:lvlText w:val=""/>
      <w:lvlJc w:val="left"/>
    </w:lvl>
    <w:lvl w:ilvl="2" w:tplc="B5BEEC74">
      <w:numFmt w:val="decimal"/>
      <w:lvlText w:val=""/>
      <w:lvlJc w:val="left"/>
    </w:lvl>
    <w:lvl w:ilvl="3" w:tplc="A1D05B94">
      <w:numFmt w:val="decimal"/>
      <w:lvlText w:val=""/>
      <w:lvlJc w:val="left"/>
    </w:lvl>
    <w:lvl w:ilvl="4" w:tplc="D450A8D2">
      <w:numFmt w:val="decimal"/>
      <w:lvlText w:val=""/>
      <w:lvlJc w:val="left"/>
    </w:lvl>
    <w:lvl w:ilvl="5" w:tplc="1D4E83FC">
      <w:numFmt w:val="decimal"/>
      <w:lvlText w:val=""/>
      <w:lvlJc w:val="left"/>
    </w:lvl>
    <w:lvl w:ilvl="6" w:tplc="DC8A1FDC">
      <w:numFmt w:val="decimal"/>
      <w:lvlText w:val=""/>
      <w:lvlJc w:val="left"/>
    </w:lvl>
    <w:lvl w:ilvl="7" w:tplc="A134EC12">
      <w:numFmt w:val="decimal"/>
      <w:lvlText w:val=""/>
      <w:lvlJc w:val="left"/>
    </w:lvl>
    <w:lvl w:ilvl="8" w:tplc="25047FEA">
      <w:numFmt w:val="decimal"/>
      <w:lvlText w:val=""/>
      <w:lvlJc w:val="left"/>
    </w:lvl>
  </w:abstractNum>
  <w:abstractNum w:abstractNumId="13" w15:restartNumberingAfterBreak="0">
    <w:nsid w:val="6AB26BF2"/>
    <w:multiLevelType w:val="hybridMultilevel"/>
    <w:tmpl w:val="CD46B39E"/>
    <w:lvl w:ilvl="0" w:tplc="5E6AA3E4">
      <w:start w:val="1"/>
      <w:numFmt w:val="bullet"/>
      <w:lvlText w:val=""/>
      <w:lvlJc w:val="left"/>
      <w:pPr>
        <w:tabs>
          <w:tab w:val="num" w:pos="900"/>
        </w:tabs>
        <w:ind w:left="540" w:hanging="360"/>
      </w:pPr>
      <w:rPr>
        <w:rFonts w:ascii="Symbol" w:hAnsi="Symbol" w:hint="default"/>
      </w:rPr>
    </w:lvl>
    <w:lvl w:ilvl="1" w:tplc="DA6E5C02">
      <w:numFmt w:val="decimal"/>
      <w:lvlText w:val=""/>
      <w:lvlJc w:val="left"/>
    </w:lvl>
    <w:lvl w:ilvl="2" w:tplc="448E5666">
      <w:numFmt w:val="decimal"/>
      <w:lvlText w:val=""/>
      <w:lvlJc w:val="left"/>
    </w:lvl>
    <w:lvl w:ilvl="3" w:tplc="054C9D92">
      <w:numFmt w:val="decimal"/>
      <w:lvlText w:val=""/>
      <w:lvlJc w:val="left"/>
    </w:lvl>
    <w:lvl w:ilvl="4" w:tplc="637E47E4">
      <w:numFmt w:val="decimal"/>
      <w:lvlText w:val=""/>
      <w:lvlJc w:val="left"/>
    </w:lvl>
    <w:lvl w:ilvl="5" w:tplc="5B121D1E">
      <w:numFmt w:val="decimal"/>
      <w:lvlText w:val=""/>
      <w:lvlJc w:val="left"/>
    </w:lvl>
    <w:lvl w:ilvl="6" w:tplc="89DEA3FC">
      <w:numFmt w:val="decimal"/>
      <w:lvlText w:val=""/>
      <w:lvlJc w:val="left"/>
    </w:lvl>
    <w:lvl w:ilvl="7" w:tplc="71462B18">
      <w:numFmt w:val="decimal"/>
      <w:lvlText w:val=""/>
      <w:lvlJc w:val="left"/>
    </w:lvl>
    <w:lvl w:ilvl="8" w:tplc="C69AAE26">
      <w:numFmt w:val="decimal"/>
      <w:lvlText w:val=""/>
      <w:lvlJc w:val="left"/>
    </w:lvl>
  </w:abstractNum>
  <w:abstractNum w:abstractNumId="14" w15:restartNumberingAfterBreak="0">
    <w:nsid w:val="6FB306A4"/>
    <w:multiLevelType w:val="hybridMultilevel"/>
    <w:tmpl w:val="08F87208"/>
    <w:lvl w:ilvl="0" w:tplc="26BE9BC0">
      <w:start w:val="1"/>
      <w:numFmt w:val="bullet"/>
      <w:lvlText w:val=""/>
      <w:lvlJc w:val="left"/>
      <w:pPr>
        <w:tabs>
          <w:tab w:val="num" w:pos="900"/>
        </w:tabs>
        <w:ind w:left="540" w:hanging="360"/>
      </w:pPr>
      <w:rPr>
        <w:rFonts w:ascii="Symbol" w:hAnsi="Symbol" w:hint="default"/>
      </w:rPr>
    </w:lvl>
    <w:lvl w:ilvl="1" w:tplc="A7607DE2">
      <w:numFmt w:val="decimal"/>
      <w:lvlText w:val=""/>
      <w:lvlJc w:val="left"/>
    </w:lvl>
    <w:lvl w:ilvl="2" w:tplc="AB0C8B44">
      <w:numFmt w:val="decimal"/>
      <w:lvlText w:val=""/>
      <w:lvlJc w:val="left"/>
    </w:lvl>
    <w:lvl w:ilvl="3" w:tplc="3996C188">
      <w:numFmt w:val="decimal"/>
      <w:lvlText w:val=""/>
      <w:lvlJc w:val="left"/>
    </w:lvl>
    <w:lvl w:ilvl="4" w:tplc="3886C988">
      <w:numFmt w:val="decimal"/>
      <w:lvlText w:val=""/>
      <w:lvlJc w:val="left"/>
    </w:lvl>
    <w:lvl w:ilvl="5" w:tplc="05C820F8">
      <w:numFmt w:val="decimal"/>
      <w:lvlText w:val=""/>
      <w:lvlJc w:val="left"/>
    </w:lvl>
    <w:lvl w:ilvl="6" w:tplc="196CB120">
      <w:numFmt w:val="decimal"/>
      <w:lvlText w:val=""/>
      <w:lvlJc w:val="left"/>
    </w:lvl>
    <w:lvl w:ilvl="7" w:tplc="AD2E5A10">
      <w:numFmt w:val="decimal"/>
      <w:lvlText w:val=""/>
      <w:lvlJc w:val="left"/>
    </w:lvl>
    <w:lvl w:ilvl="8" w:tplc="9348C548">
      <w:numFmt w:val="decimal"/>
      <w:lvlText w:val=""/>
      <w:lvlJc w:val="left"/>
    </w:lvl>
  </w:abstractNum>
  <w:num w:numId="1" w16cid:durableId="2110151796">
    <w:abstractNumId w:val="9"/>
  </w:num>
  <w:num w:numId="2" w16cid:durableId="262684816">
    <w:abstractNumId w:val="8"/>
  </w:num>
  <w:num w:numId="3" w16cid:durableId="583686948">
    <w:abstractNumId w:val="4"/>
  </w:num>
  <w:num w:numId="4" w16cid:durableId="1094012065">
    <w:abstractNumId w:val="1"/>
  </w:num>
  <w:num w:numId="5" w16cid:durableId="1571887159">
    <w:abstractNumId w:val="13"/>
  </w:num>
  <w:num w:numId="6" w16cid:durableId="386270678">
    <w:abstractNumId w:val="0"/>
  </w:num>
  <w:num w:numId="7" w16cid:durableId="1383477253">
    <w:abstractNumId w:val="2"/>
  </w:num>
  <w:num w:numId="8" w16cid:durableId="417481552">
    <w:abstractNumId w:val="14"/>
  </w:num>
  <w:num w:numId="9" w16cid:durableId="635333399">
    <w:abstractNumId w:val="6"/>
  </w:num>
  <w:num w:numId="10" w16cid:durableId="1262882401">
    <w:abstractNumId w:val="7"/>
  </w:num>
  <w:num w:numId="11" w16cid:durableId="478615590">
    <w:abstractNumId w:val="10"/>
  </w:num>
  <w:num w:numId="12" w16cid:durableId="1780950762">
    <w:abstractNumId w:val="12"/>
  </w:num>
  <w:num w:numId="13" w16cid:durableId="187135609">
    <w:abstractNumId w:val="5"/>
  </w:num>
  <w:num w:numId="14" w16cid:durableId="774322915">
    <w:abstractNumId w:val="11"/>
  </w:num>
  <w:num w:numId="15" w16cid:durableId="3701095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133"/>
    <w:rsid w:val="00025133"/>
    <w:rsid w:val="00054712"/>
    <w:rsid w:val="00071321"/>
    <w:rsid w:val="000E14FE"/>
    <w:rsid w:val="00107A98"/>
    <w:rsid w:val="00122CC0"/>
    <w:rsid w:val="00127569"/>
    <w:rsid w:val="00156F17"/>
    <w:rsid w:val="00177574"/>
    <w:rsid w:val="0018564F"/>
    <w:rsid w:val="00191BC1"/>
    <w:rsid w:val="001B27D7"/>
    <w:rsid w:val="00213015"/>
    <w:rsid w:val="002A0B7A"/>
    <w:rsid w:val="002A38BF"/>
    <w:rsid w:val="002C1B64"/>
    <w:rsid w:val="00311BDD"/>
    <w:rsid w:val="003166BC"/>
    <w:rsid w:val="003B2A01"/>
    <w:rsid w:val="003C1F65"/>
    <w:rsid w:val="003C3CB8"/>
    <w:rsid w:val="003D6B70"/>
    <w:rsid w:val="00433233"/>
    <w:rsid w:val="004365A6"/>
    <w:rsid w:val="00463478"/>
    <w:rsid w:val="004639B7"/>
    <w:rsid w:val="004948A0"/>
    <w:rsid w:val="004B0601"/>
    <w:rsid w:val="004B37C1"/>
    <w:rsid w:val="004B3FA0"/>
    <w:rsid w:val="00522D49"/>
    <w:rsid w:val="0057583E"/>
    <w:rsid w:val="00586515"/>
    <w:rsid w:val="005B7DC4"/>
    <w:rsid w:val="00602624"/>
    <w:rsid w:val="00634777"/>
    <w:rsid w:val="00640AF5"/>
    <w:rsid w:val="00690FA8"/>
    <w:rsid w:val="00697B8A"/>
    <w:rsid w:val="006C649B"/>
    <w:rsid w:val="006E4EDC"/>
    <w:rsid w:val="007505F5"/>
    <w:rsid w:val="00754515"/>
    <w:rsid w:val="00792B56"/>
    <w:rsid w:val="007C2C9B"/>
    <w:rsid w:val="007C7628"/>
    <w:rsid w:val="008179D0"/>
    <w:rsid w:val="00840F4A"/>
    <w:rsid w:val="00863C22"/>
    <w:rsid w:val="0086643E"/>
    <w:rsid w:val="00870843"/>
    <w:rsid w:val="00907842"/>
    <w:rsid w:val="00917082"/>
    <w:rsid w:val="009D6A26"/>
    <w:rsid w:val="009E68DC"/>
    <w:rsid w:val="009E78B8"/>
    <w:rsid w:val="00A07881"/>
    <w:rsid w:val="00B71741"/>
    <w:rsid w:val="00B77CD8"/>
    <w:rsid w:val="00BB2D89"/>
    <w:rsid w:val="00BE7B15"/>
    <w:rsid w:val="00C05106"/>
    <w:rsid w:val="00C52A95"/>
    <w:rsid w:val="00C86983"/>
    <w:rsid w:val="00C96771"/>
    <w:rsid w:val="00D144C9"/>
    <w:rsid w:val="00D515B6"/>
    <w:rsid w:val="00D87564"/>
    <w:rsid w:val="00D90E3B"/>
    <w:rsid w:val="00DD2D5D"/>
    <w:rsid w:val="00DE40A6"/>
    <w:rsid w:val="00DF37B7"/>
    <w:rsid w:val="00DF7BEE"/>
    <w:rsid w:val="00E63330"/>
    <w:rsid w:val="00E8456C"/>
    <w:rsid w:val="00E84B8A"/>
    <w:rsid w:val="00EC72FA"/>
    <w:rsid w:val="00EF3CDC"/>
    <w:rsid w:val="00F44617"/>
    <w:rsid w:val="00F5365B"/>
    <w:rsid w:val="00F82A5D"/>
    <w:rsid w:val="00FA0734"/>
    <w:rsid w:val="00FC3528"/>
    <w:rsid w:val="00FD79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8C6948B-7154-42C9-B201-96E8EFE91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character" w:styleId="Hyperlink">
    <w:name w:val="Hyperlink"/>
    <w:basedOn w:val="DefaultParagraphFont"/>
    <w:uiPriority w:val="99"/>
    <w:unhideWhenUsed/>
    <w:rsid w:val="003C3CB8"/>
    <w:rPr>
      <w:color w:val="0563C1" w:themeColor="hyperlink"/>
      <w:u w:val="single"/>
    </w:rPr>
  </w:style>
  <w:style w:type="character" w:styleId="UnresolvedMention">
    <w:name w:val="Unresolved Mention"/>
    <w:basedOn w:val="DefaultParagraphFont"/>
    <w:uiPriority w:val="99"/>
    <w:semiHidden/>
    <w:unhideWhenUsed/>
    <w:rsid w:val="003C3CB8"/>
    <w:rPr>
      <w:color w:val="605E5C"/>
      <w:shd w:val="clear" w:color="auto" w:fill="E1DFDD"/>
    </w:rPr>
  </w:style>
  <w:style w:type="paragraph" w:styleId="Header">
    <w:name w:val="header"/>
    <w:basedOn w:val="Normal"/>
    <w:link w:val="HeaderChar"/>
    <w:uiPriority w:val="99"/>
    <w:unhideWhenUsed/>
    <w:rsid w:val="00690F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FA8"/>
  </w:style>
  <w:style w:type="paragraph" w:styleId="Footer">
    <w:name w:val="footer"/>
    <w:basedOn w:val="Normal"/>
    <w:link w:val="FooterChar"/>
    <w:uiPriority w:val="99"/>
    <w:unhideWhenUsed/>
    <w:rsid w:val="00690F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683</Words>
  <Characters>3899</Characters>
  <Application>Microsoft Office Word</Application>
  <DocSecurity>0</DocSecurity>
  <Lines>32</Lines>
  <Paragraphs>9</Paragraphs>
  <ScaleCrop>false</ScaleCrop>
  <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Krishna Murti</cp:lastModifiedBy>
  <cp:revision>150</cp:revision>
  <dcterms:created xsi:type="dcterms:W3CDTF">2026-02-12T00:43:00Z</dcterms:created>
  <dcterms:modified xsi:type="dcterms:W3CDTF">2026-03-16T21:27:00Z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f7b67638-b1a6-4123-8ac7-bf1f1978f941</vt:lpwstr>
  </property>
</Properties>
</file>