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DFA3C" w14:textId="77777777" w:rsidR="001622F9" w:rsidRPr="00854E91" w:rsidRDefault="001622F9" w:rsidP="001622F9">
      <w:pPr>
        <w:rPr>
          <w:rFonts w:cstheme="minorHAnsi"/>
          <w:b/>
          <w:bCs/>
        </w:rPr>
      </w:pPr>
      <w:r w:rsidRPr="00854E91">
        <w:rPr>
          <w:rFonts w:cstheme="minorHAnsi"/>
          <w:b/>
          <w:bCs/>
        </w:rPr>
        <w:t>Anti-Money Laundering (AML) Policy</w:t>
      </w:r>
    </w:p>
    <w:p w14:paraId="7B05BADE" w14:textId="63EA44B2" w:rsidR="001622F9" w:rsidRPr="00854E91" w:rsidRDefault="00E03C48" w:rsidP="001622F9">
      <w:pPr>
        <w:rPr>
          <w:rFonts w:cstheme="minorHAnsi"/>
        </w:rPr>
      </w:pPr>
      <w:r w:rsidRPr="00A07AF9">
        <w:rPr>
          <w:rFonts w:cstheme="minorHAnsi"/>
          <w:b/>
          <w:bCs/>
          <w:highlight w:val="yellow"/>
        </w:rPr>
        <w:t>VIPUL KAUSHIK</w:t>
      </w:r>
      <w:r w:rsidR="001622F9" w:rsidRPr="00854E91">
        <w:rPr>
          <w:rFonts w:cstheme="minorHAnsi"/>
        </w:rPr>
        <w:t xml:space="preserve">: </w:t>
      </w:r>
      <w:r w:rsidRPr="00A07AF9">
        <w:rPr>
          <w:rFonts w:cstheme="minorHAnsi"/>
          <w:b/>
          <w:bCs/>
          <w:highlight w:val="yellow"/>
        </w:rPr>
        <w:t>INH000024116</w:t>
      </w:r>
      <w:r w:rsidR="001622F9" w:rsidRPr="00854E91">
        <w:rPr>
          <w:rFonts w:cstheme="minorHAnsi"/>
        </w:rPr>
        <w:br/>
      </w:r>
      <w:r w:rsidR="001622F9" w:rsidRPr="00854E91">
        <w:rPr>
          <w:rFonts w:cstheme="minorHAnsi"/>
          <w:i/>
          <w:iCs/>
        </w:rPr>
        <w:t>(In Accordance with SEBI Circulars, PMLA 2002, &amp; Regulatory Guidance)</w:t>
      </w:r>
    </w:p>
    <w:p w14:paraId="25DEC638" w14:textId="77777777" w:rsidR="001622F9" w:rsidRPr="00052370" w:rsidRDefault="001622F9" w:rsidP="001622F9">
      <w:pPr>
        <w:rPr>
          <w:rFonts w:cstheme="minorHAnsi"/>
          <w:b/>
          <w:bCs/>
        </w:rPr>
      </w:pPr>
      <w:r w:rsidRPr="00052370">
        <w:rPr>
          <w:rFonts w:cstheme="minorHAnsi"/>
          <w:b/>
          <w:bCs/>
        </w:rPr>
        <w:t>1. Purpose and Commitment</w:t>
      </w:r>
    </w:p>
    <w:p w14:paraId="6E6717A6" w14:textId="2040C48B" w:rsidR="001622F9" w:rsidRPr="00854E91" w:rsidRDefault="00E03C48" w:rsidP="001622F9">
      <w:pPr>
        <w:rPr>
          <w:rFonts w:cstheme="minorHAnsi"/>
        </w:rPr>
      </w:pPr>
      <w:r w:rsidRPr="00CD2366">
        <w:rPr>
          <w:rFonts w:cstheme="minorHAnsi"/>
          <w:b/>
          <w:bCs/>
          <w:highlight w:val="yellow"/>
        </w:rPr>
        <w:t>VIPUL KAUSHIK</w:t>
      </w:r>
      <w:r w:rsidR="001622F9" w:rsidRPr="00854E91">
        <w:rPr>
          <w:rFonts w:cstheme="minorHAnsi"/>
        </w:rPr>
        <w:t xml:space="preserve"> adopts a strict Anti-Money Laundering (AML) and Combating Financing of Terrorism (CFT) policy, aligned with applicable SEBI circulars, the Prevention of Money Laundering Act, 2002 (PMLA), and all statutory rules and amendments. The policy aims to:</w:t>
      </w:r>
    </w:p>
    <w:p w14:paraId="04033C2F" w14:textId="66CC8888" w:rsidR="001622F9" w:rsidRPr="00854E91" w:rsidRDefault="00E27781" w:rsidP="00E27781">
      <w:pPr>
        <w:rPr>
          <w:rFonts w:cstheme="minorHAnsi"/>
        </w:rPr>
      </w:pPr>
      <w:r w:rsidRPr="00854E91">
        <w:rPr>
          <w:rFonts w:cstheme="minorHAnsi"/>
        </w:rPr>
        <w:t xml:space="preserve">(a) </w:t>
      </w:r>
      <w:r w:rsidR="001622F9" w:rsidRPr="00854E91">
        <w:rPr>
          <w:rFonts w:cstheme="minorHAnsi"/>
        </w:rPr>
        <w:t>Prohibit and prevent money laundering and terrorist financing.</w:t>
      </w:r>
    </w:p>
    <w:p w14:paraId="0B289ABD" w14:textId="01BDBB71" w:rsidR="001622F9" w:rsidRPr="00854E91" w:rsidRDefault="00E27781" w:rsidP="00E27781">
      <w:pPr>
        <w:rPr>
          <w:rFonts w:cstheme="minorHAnsi"/>
        </w:rPr>
      </w:pPr>
      <w:r w:rsidRPr="00854E91">
        <w:rPr>
          <w:rFonts w:cstheme="minorHAnsi"/>
        </w:rPr>
        <w:t xml:space="preserve">(b) </w:t>
      </w:r>
      <w:r w:rsidR="001622F9" w:rsidRPr="00854E91">
        <w:rPr>
          <w:rFonts w:cstheme="minorHAnsi"/>
        </w:rPr>
        <w:t>Comply with SEBI and legal directives.</w:t>
      </w:r>
    </w:p>
    <w:p w14:paraId="2FC4F8F6" w14:textId="2E8134B4" w:rsidR="001622F9" w:rsidRPr="00854E91" w:rsidRDefault="00826DB9" w:rsidP="00E27781">
      <w:pPr>
        <w:rPr>
          <w:rFonts w:cstheme="minorHAnsi"/>
        </w:rPr>
      </w:pPr>
      <w:r w:rsidRPr="00854E91">
        <w:rPr>
          <w:rFonts w:cstheme="minorHAnsi"/>
        </w:rPr>
        <w:t>(c)</w:t>
      </w:r>
      <w:r w:rsidR="00E27781" w:rsidRPr="00854E91">
        <w:rPr>
          <w:rFonts w:cstheme="minorHAnsi"/>
        </w:rPr>
        <w:t xml:space="preserve"> </w:t>
      </w:r>
      <w:r w:rsidR="001622F9" w:rsidRPr="00854E91">
        <w:rPr>
          <w:rFonts w:cstheme="minorHAnsi"/>
        </w:rPr>
        <w:t>Participate in global AML/CFT initiatives.</w:t>
      </w:r>
    </w:p>
    <w:p w14:paraId="328FC6F7" w14:textId="77777777" w:rsidR="001622F9" w:rsidRPr="00052370" w:rsidRDefault="001622F9" w:rsidP="001622F9">
      <w:pPr>
        <w:rPr>
          <w:rFonts w:cstheme="minorHAnsi"/>
          <w:b/>
          <w:bCs/>
        </w:rPr>
      </w:pPr>
      <w:r w:rsidRPr="00052370">
        <w:rPr>
          <w:rFonts w:cstheme="minorHAnsi"/>
          <w:b/>
          <w:bCs/>
        </w:rPr>
        <w:t>2. Scope</w:t>
      </w:r>
    </w:p>
    <w:p w14:paraId="50D0C427" w14:textId="4FB0345D" w:rsidR="001622F9" w:rsidRPr="00854E91" w:rsidRDefault="001622F9" w:rsidP="001622F9">
      <w:pPr>
        <w:rPr>
          <w:rFonts w:cstheme="minorHAnsi"/>
        </w:rPr>
      </w:pPr>
      <w:r w:rsidRPr="00854E91">
        <w:rPr>
          <w:rFonts w:cstheme="minorHAnsi"/>
        </w:rPr>
        <w:t xml:space="preserve">This policy covers all business activities of </w:t>
      </w:r>
      <w:r w:rsidR="00E03C48" w:rsidRPr="00EE47BB">
        <w:rPr>
          <w:rFonts w:cstheme="minorHAnsi"/>
          <w:b/>
          <w:bCs/>
          <w:highlight w:val="yellow"/>
        </w:rPr>
        <w:t>VIPUL KAUSHIK</w:t>
      </w:r>
      <w:r w:rsidRPr="00854E91">
        <w:rPr>
          <w:rFonts w:cstheme="minorHAnsi"/>
        </w:rPr>
        <w:t>, ensuring AML/CFT standards are maintained across all operations and processes.</w:t>
      </w:r>
    </w:p>
    <w:p w14:paraId="7401DE83" w14:textId="77777777" w:rsidR="001622F9" w:rsidRPr="00052370" w:rsidRDefault="001622F9" w:rsidP="001622F9">
      <w:pPr>
        <w:rPr>
          <w:rFonts w:cstheme="minorHAnsi"/>
          <w:b/>
          <w:bCs/>
        </w:rPr>
      </w:pPr>
      <w:r w:rsidRPr="00052370">
        <w:rPr>
          <w:rFonts w:cstheme="minorHAnsi"/>
          <w:b/>
          <w:bCs/>
        </w:rPr>
        <w:t>3. Policy Objectives</w:t>
      </w:r>
    </w:p>
    <w:p w14:paraId="06C23956" w14:textId="2346B56C" w:rsidR="001622F9" w:rsidRPr="00854E91" w:rsidRDefault="002567CA" w:rsidP="002567CA">
      <w:pPr>
        <w:rPr>
          <w:rFonts w:cstheme="minorHAnsi"/>
        </w:rPr>
      </w:pPr>
      <w:r w:rsidRPr="00854E91">
        <w:rPr>
          <w:rFonts w:cstheme="minorHAnsi"/>
        </w:rPr>
        <w:t xml:space="preserve">(a) </w:t>
      </w:r>
      <w:r w:rsidR="001622F9" w:rsidRPr="00854E91">
        <w:rPr>
          <w:rFonts w:cstheme="minorHAnsi"/>
        </w:rPr>
        <w:t>Develop a comprehensive AML framework.</w:t>
      </w:r>
    </w:p>
    <w:p w14:paraId="641E4187" w14:textId="3F290236" w:rsidR="001622F9" w:rsidRPr="00854E91" w:rsidRDefault="002567CA" w:rsidP="002567CA">
      <w:pPr>
        <w:rPr>
          <w:rFonts w:cstheme="minorHAnsi"/>
        </w:rPr>
      </w:pPr>
      <w:r w:rsidRPr="00854E91">
        <w:rPr>
          <w:rFonts w:cstheme="minorHAnsi"/>
        </w:rPr>
        <w:t xml:space="preserve">(b) </w:t>
      </w:r>
      <w:r w:rsidR="001622F9" w:rsidRPr="00854E91">
        <w:rPr>
          <w:rFonts w:cstheme="minorHAnsi"/>
        </w:rPr>
        <w:t>Establish detection and reporting mechanisms for suspicious activities.</w:t>
      </w:r>
    </w:p>
    <w:p w14:paraId="77C4B51A" w14:textId="21DB30A8" w:rsidR="001622F9" w:rsidRPr="00854E91" w:rsidRDefault="007B7D83" w:rsidP="002567CA">
      <w:pPr>
        <w:rPr>
          <w:rFonts w:cstheme="minorHAnsi"/>
        </w:rPr>
      </w:pPr>
      <w:r w:rsidRPr="00854E91">
        <w:rPr>
          <w:rFonts w:cstheme="minorHAnsi"/>
        </w:rPr>
        <w:t>(c)</w:t>
      </w:r>
      <w:r w:rsidR="002567CA" w:rsidRPr="00854E91">
        <w:rPr>
          <w:rFonts w:cstheme="minorHAnsi"/>
        </w:rPr>
        <w:t xml:space="preserve"> </w:t>
      </w:r>
      <w:r w:rsidR="001622F9" w:rsidRPr="00854E91">
        <w:rPr>
          <w:rFonts w:cstheme="minorHAnsi"/>
        </w:rPr>
        <w:t>Train staff on KYC/AML duties.</w:t>
      </w:r>
    </w:p>
    <w:p w14:paraId="50649736" w14:textId="34C69032" w:rsidR="001622F9" w:rsidRPr="00854E91" w:rsidRDefault="002567CA" w:rsidP="002567CA">
      <w:pPr>
        <w:rPr>
          <w:rFonts w:cstheme="minorHAnsi"/>
        </w:rPr>
      </w:pPr>
      <w:r w:rsidRPr="00854E91">
        <w:rPr>
          <w:rFonts w:cstheme="minorHAnsi"/>
        </w:rPr>
        <w:t xml:space="preserve">(d) </w:t>
      </w:r>
      <w:r w:rsidR="001622F9" w:rsidRPr="00854E91">
        <w:rPr>
          <w:rFonts w:cstheme="minorHAnsi"/>
        </w:rPr>
        <w:t>Comply with all regulatory requirements.</w:t>
      </w:r>
    </w:p>
    <w:p w14:paraId="3E09DAB1" w14:textId="04EB9B77" w:rsidR="001622F9" w:rsidRPr="00854E91" w:rsidRDefault="00D2435A" w:rsidP="002567CA">
      <w:pPr>
        <w:rPr>
          <w:rFonts w:cstheme="minorHAnsi"/>
        </w:rPr>
      </w:pPr>
      <w:r w:rsidRPr="00854E91">
        <w:rPr>
          <w:rFonts w:cstheme="minorHAnsi"/>
        </w:rPr>
        <w:t>(e)</w:t>
      </w:r>
      <w:r w:rsidR="002567CA" w:rsidRPr="00854E91">
        <w:rPr>
          <w:rFonts w:cstheme="minorHAnsi"/>
        </w:rPr>
        <w:t xml:space="preserve"> </w:t>
      </w:r>
      <w:r w:rsidR="001622F9" w:rsidRPr="00854E91">
        <w:rPr>
          <w:rFonts w:cstheme="minorHAnsi"/>
        </w:rPr>
        <w:t>Support law enforcement in investigating and tracking illicit activities.</w:t>
      </w:r>
    </w:p>
    <w:p w14:paraId="1B179D9B" w14:textId="77777777" w:rsidR="001622F9" w:rsidRPr="00140B1B" w:rsidRDefault="001622F9" w:rsidP="001622F9">
      <w:pPr>
        <w:rPr>
          <w:rFonts w:cstheme="minorHAnsi"/>
          <w:b/>
          <w:bCs/>
        </w:rPr>
      </w:pPr>
      <w:r w:rsidRPr="00140B1B">
        <w:rPr>
          <w:rFonts w:cstheme="minorHAnsi"/>
          <w:b/>
          <w:bCs/>
        </w:rPr>
        <w:t>4. Principal Officer Responsibilities</w:t>
      </w:r>
    </w:p>
    <w:p w14:paraId="74060CF6" w14:textId="4100D69D" w:rsidR="001622F9" w:rsidRPr="00854E91" w:rsidRDefault="00CC5C0D" w:rsidP="00CC5C0D">
      <w:pPr>
        <w:rPr>
          <w:rFonts w:cstheme="minorHAnsi"/>
        </w:rPr>
      </w:pPr>
      <w:r w:rsidRPr="00854E91">
        <w:rPr>
          <w:rFonts w:cstheme="minorHAnsi"/>
        </w:rPr>
        <w:t xml:space="preserve">(a) </w:t>
      </w:r>
      <w:r w:rsidR="001622F9" w:rsidRPr="00854E91">
        <w:rPr>
          <w:rFonts w:cstheme="minorHAnsi"/>
        </w:rPr>
        <w:t>The designated Research Analyst serves as Principal Officer.</w:t>
      </w:r>
    </w:p>
    <w:p w14:paraId="272C286A" w14:textId="5690DE34" w:rsidR="001622F9" w:rsidRPr="00854E91" w:rsidRDefault="00CC5C0D" w:rsidP="00CC5C0D">
      <w:pPr>
        <w:rPr>
          <w:rFonts w:cstheme="minorHAnsi"/>
        </w:rPr>
      </w:pPr>
      <w:r w:rsidRPr="00854E91">
        <w:rPr>
          <w:rFonts w:cstheme="minorHAnsi"/>
        </w:rPr>
        <w:t xml:space="preserve">(b) </w:t>
      </w:r>
      <w:r w:rsidR="001622F9" w:rsidRPr="00854E91">
        <w:rPr>
          <w:rFonts w:cstheme="minorHAnsi"/>
        </w:rPr>
        <w:t>Acts as the central reference point for all AML reporting and compliance matters.</w:t>
      </w:r>
    </w:p>
    <w:p w14:paraId="64172579" w14:textId="4EBBCB60" w:rsidR="001622F9" w:rsidRPr="00854E91" w:rsidRDefault="00204DA6" w:rsidP="00CC5C0D">
      <w:pPr>
        <w:rPr>
          <w:rFonts w:cstheme="minorHAnsi"/>
        </w:rPr>
      </w:pPr>
      <w:r w:rsidRPr="00854E91">
        <w:rPr>
          <w:rFonts w:cstheme="minorHAnsi"/>
        </w:rPr>
        <w:t>(c)</w:t>
      </w:r>
      <w:r w:rsidR="00CC5C0D" w:rsidRPr="00854E91">
        <w:rPr>
          <w:rFonts w:cstheme="minorHAnsi"/>
        </w:rPr>
        <w:t xml:space="preserve"> </w:t>
      </w:r>
      <w:r w:rsidR="001622F9" w:rsidRPr="00854E91">
        <w:rPr>
          <w:rFonts w:cstheme="minorHAnsi"/>
        </w:rPr>
        <w:t>Monitors policy implementation, recordkeeping, staff AML training, and mandatory FIU-IND reports.</w:t>
      </w:r>
    </w:p>
    <w:p w14:paraId="67059149" w14:textId="11E95F7C" w:rsidR="001622F9" w:rsidRPr="00854E91" w:rsidRDefault="00CC5C0D" w:rsidP="00CC5C0D">
      <w:pPr>
        <w:rPr>
          <w:rFonts w:cstheme="minorHAnsi"/>
        </w:rPr>
      </w:pPr>
      <w:r w:rsidRPr="00854E91">
        <w:rPr>
          <w:rFonts w:cstheme="minorHAnsi"/>
        </w:rPr>
        <w:t xml:space="preserve">(d) </w:t>
      </w:r>
      <w:r w:rsidR="001622F9" w:rsidRPr="00854E91">
        <w:rPr>
          <w:rFonts w:cstheme="minorHAnsi"/>
        </w:rPr>
        <w:t>Updates FIU-IND on contact or policy changes, and issues internal AML advisories as required.</w:t>
      </w:r>
    </w:p>
    <w:p w14:paraId="5BA380CC" w14:textId="77777777" w:rsidR="001622F9" w:rsidRPr="009853E3" w:rsidRDefault="001622F9" w:rsidP="001622F9">
      <w:pPr>
        <w:rPr>
          <w:rFonts w:cstheme="minorHAnsi"/>
          <w:b/>
          <w:bCs/>
        </w:rPr>
      </w:pPr>
      <w:r w:rsidRPr="009853E3">
        <w:rPr>
          <w:rFonts w:cstheme="minorHAnsi"/>
          <w:b/>
          <w:bCs/>
        </w:rPr>
        <w:t>5. Customer Due Diligence (CDD) &amp; KYC Procedures</w:t>
      </w:r>
    </w:p>
    <w:p w14:paraId="2A9105CD" w14:textId="57173EE0" w:rsidR="001622F9" w:rsidRPr="00854E91" w:rsidRDefault="00881506" w:rsidP="00881506">
      <w:pPr>
        <w:rPr>
          <w:rFonts w:cstheme="minorHAnsi"/>
        </w:rPr>
      </w:pPr>
      <w:r w:rsidRPr="00854E91">
        <w:rPr>
          <w:rFonts w:cstheme="minorHAnsi"/>
        </w:rPr>
        <w:t>(a)</w:t>
      </w:r>
      <w:r w:rsidR="000E0A82" w:rsidRPr="00854E91">
        <w:rPr>
          <w:rFonts w:cstheme="minorHAnsi"/>
        </w:rPr>
        <w:t xml:space="preserve"> </w:t>
      </w:r>
      <w:r w:rsidR="001622F9" w:rsidRPr="00854E91">
        <w:rPr>
          <w:rFonts w:cstheme="minorHAnsi"/>
        </w:rPr>
        <w:t>Verify client identity and address (including KYC documentation) before offering any service.</w:t>
      </w:r>
    </w:p>
    <w:p w14:paraId="18984E56" w14:textId="693F522C" w:rsidR="001622F9" w:rsidRPr="00854E91" w:rsidRDefault="009C4098" w:rsidP="009C4098">
      <w:pPr>
        <w:rPr>
          <w:rFonts w:cstheme="minorHAnsi"/>
        </w:rPr>
      </w:pPr>
      <w:r w:rsidRPr="00854E91">
        <w:rPr>
          <w:rFonts w:cstheme="minorHAnsi"/>
        </w:rPr>
        <w:t xml:space="preserve">(b) </w:t>
      </w:r>
      <w:r w:rsidR="001622F9" w:rsidRPr="00854E91">
        <w:rPr>
          <w:rFonts w:cstheme="minorHAnsi"/>
        </w:rPr>
        <w:t>All identity documents must be verified with originals and "verified with original" stamped on copies.</w:t>
      </w:r>
    </w:p>
    <w:p w14:paraId="2601E9F3" w14:textId="0380628A" w:rsidR="001622F9" w:rsidRPr="00854E91" w:rsidRDefault="00E83AE8" w:rsidP="009C4098">
      <w:pPr>
        <w:rPr>
          <w:rFonts w:cstheme="minorHAnsi"/>
        </w:rPr>
      </w:pPr>
      <w:r w:rsidRPr="00854E91">
        <w:rPr>
          <w:rFonts w:cstheme="minorHAnsi"/>
        </w:rPr>
        <w:t>(c)</w:t>
      </w:r>
      <w:r w:rsidR="009C4098" w:rsidRPr="00854E91">
        <w:rPr>
          <w:rFonts w:cstheme="minorHAnsi"/>
        </w:rPr>
        <w:t xml:space="preserve"> </w:t>
      </w:r>
      <w:r w:rsidR="001622F9" w:rsidRPr="00854E91">
        <w:rPr>
          <w:rFonts w:cstheme="minorHAnsi"/>
        </w:rPr>
        <w:t>No service to be provided to anonymous, fictitious, or benami accounts.</w:t>
      </w:r>
    </w:p>
    <w:p w14:paraId="3278C54D" w14:textId="6E590BEE" w:rsidR="001622F9" w:rsidRPr="00854E91" w:rsidRDefault="009C4098" w:rsidP="009C4098">
      <w:pPr>
        <w:rPr>
          <w:rFonts w:cstheme="minorHAnsi"/>
        </w:rPr>
      </w:pPr>
      <w:r w:rsidRPr="00854E91">
        <w:rPr>
          <w:rFonts w:cstheme="minorHAnsi"/>
        </w:rPr>
        <w:t xml:space="preserve">(d) </w:t>
      </w:r>
      <w:r w:rsidR="001622F9" w:rsidRPr="00854E91">
        <w:rPr>
          <w:rFonts w:cstheme="minorHAnsi"/>
        </w:rPr>
        <w:t>Only accept/issue payments through banking channels; cash dealings are prohibited.</w:t>
      </w:r>
    </w:p>
    <w:p w14:paraId="5E35F363" w14:textId="1DF8A728" w:rsidR="001622F9" w:rsidRPr="00854E91" w:rsidRDefault="00676A82" w:rsidP="009C4098">
      <w:pPr>
        <w:rPr>
          <w:rFonts w:cstheme="minorHAnsi"/>
        </w:rPr>
      </w:pPr>
      <w:r w:rsidRPr="00854E91">
        <w:rPr>
          <w:rFonts w:cstheme="minorHAnsi"/>
        </w:rPr>
        <w:t>(e)</w:t>
      </w:r>
      <w:r w:rsidR="009C4098" w:rsidRPr="00854E91">
        <w:rPr>
          <w:rFonts w:cstheme="minorHAnsi"/>
        </w:rPr>
        <w:t xml:space="preserve"> </w:t>
      </w:r>
      <w:r w:rsidR="001622F9" w:rsidRPr="00854E91">
        <w:rPr>
          <w:rFonts w:cstheme="minorHAnsi"/>
        </w:rPr>
        <w:t>Compare client identity to criminal or banned lists, and obtain declarations confirming legitimacy when necessary.</w:t>
      </w:r>
    </w:p>
    <w:p w14:paraId="56C703B1" w14:textId="5C9D0358" w:rsidR="001622F9" w:rsidRPr="00854E91" w:rsidRDefault="00543458" w:rsidP="00543458">
      <w:pPr>
        <w:rPr>
          <w:rFonts w:cstheme="minorHAnsi"/>
        </w:rPr>
      </w:pPr>
      <w:r w:rsidRPr="00854E91">
        <w:rPr>
          <w:rFonts w:cstheme="minorHAnsi"/>
        </w:rPr>
        <w:t xml:space="preserve">(f) </w:t>
      </w:r>
      <w:r w:rsidR="001622F9" w:rsidRPr="00854E91">
        <w:rPr>
          <w:rFonts w:cstheme="minorHAnsi"/>
        </w:rPr>
        <w:t>PAN card mandatory; verification via IT/NSDL/KRA before onboarding.</w:t>
      </w:r>
    </w:p>
    <w:p w14:paraId="2BE57844" w14:textId="346E9845" w:rsidR="001622F9" w:rsidRPr="00854E91" w:rsidRDefault="00543458" w:rsidP="00543458">
      <w:pPr>
        <w:rPr>
          <w:rFonts w:cstheme="minorHAnsi"/>
        </w:rPr>
      </w:pPr>
      <w:r w:rsidRPr="00854E91">
        <w:rPr>
          <w:rFonts w:cstheme="minorHAnsi"/>
        </w:rPr>
        <w:t xml:space="preserve">(g) </w:t>
      </w:r>
      <w:r w:rsidR="001622F9" w:rsidRPr="00854E91">
        <w:rPr>
          <w:rFonts w:cstheme="minorHAnsi"/>
        </w:rPr>
        <w:t>Maintain identification records for ten years post-relationship closure, or longer if under investigation.</w:t>
      </w:r>
    </w:p>
    <w:p w14:paraId="1D438FD0" w14:textId="650C25ED" w:rsidR="001622F9" w:rsidRPr="00854E91" w:rsidRDefault="00543458" w:rsidP="00543458">
      <w:pPr>
        <w:rPr>
          <w:rFonts w:cstheme="minorHAnsi"/>
        </w:rPr>
      </w:pPr>
      <w:r w:rsidRPr="00854E91">
        <w:rPr>
          <w:rFonts w:cstheme="minorHAnsi"/>
        </w:rPr>
        <w:t xml:space="preserve">(h) </w:t>
      </w:r>
      <w:r w:rsidR="001622F9" w:rsidRPr="00854E91">
        <w:rPr>
          <w:rFonts w:cstheme="minorHAnsi"/>
        </w:rPr>
        <w:t>Special diligence for Clients of Special Category (e.g., NRIs, HNIs, Trusts, PEPs, high-risk regions, etc.).</w:t>
      </w:r>
    </w:p>
    <w:p w14:paraId="43F0E080" w14:textId="77777777" w:rsidR="001622F9" w:rsidRPr="000E5AF0" w:rsidRDefault="001622F9" w:rsidP="001622F9">
      <w:pPr>
        <w:rPr>
          <w:rFonts w:cstheme="minorHAnsi"/>
          <w:b/>
          <w:bCs/>
        </w:rPr>
      </w:pPr>
      <w:r w:rsidRPr="000E5AF0">
        <w:rPr>
          <w:rFonts w:cstheme="minorHAnsi"/>
          <w:b/>
          <w:bCs/>
        </w:rPr>
        <w:t>6. Maintenance and Retention of Records</w:t>
      </w:r>
    </w:p>
    <w:p w14:paraId="0AE16259" w14:textId="5DEAB439" w:rsidR="001622F9" w:rsidRPr="00854E91" w:rsidRDefault="000C0477" w:rsidP="000C0477">
      <w:pPr>
        <w:rPr>
          <w:rFonts w:cstheme="minorHAnsi"/>
        </w:rPr>
      </w:pPr>
      <w:r w:rsidRPr="00854E91">
        <w:rPr>
          <w:rFonts w:cstheme="minorHAnsi"/>
        </w:rPr>
        <w:t xml:space="preserve">(a) </w:t>
      </w:r>
      <w:r w:rsidR="001622F9" w:rsidRPr="00854E91">
        <w:rPr>
          <w:rFonts w:cstheme="minorHAnsi"/>
        </w:rPr>
        <w:t>Maintain records of:</w:t>
      </w:r>
    </w:p>
    <w:p w14:paraId="0386ADA1" w14:textId="42EEF5DF" w:rsidR="001622F9" w:rsidRPr="00854E91" w:rsidRDefault="00B23492" w:rsidP="00B23492">
      <w:pPr>
        <w:rPr>
          <w:rFonts w:cstheme="minorHAnsi"/>
        </w:rPr>
      </w:pPr>
      <w:r w:rsidRPr="00854E91">
        <w:rPr>
          <w:rFonts w:cstheme="minorHAnsi"/>
        </w:rPr>
        <w:t>(</w:t>
      </w:r>
      <w:r w:rsidR="006B2FE4" w:rsidRPr="00854E91">
        <w:rPr>
          <w:rFonts w:cstheme="minorHAnsi"/>
        </w:rPr>
        <w:t>b</w:t>
      </w:r>
      <w:r w:rsidRPr="00854E91">
        <w:rPr>
          <w:rFonts w:cstheme="minorHAnsi"/>
        </w:rPr>
        <w:t xml:space="preserve">) </w:t>
      </w:r>
      <w:r w:rsidR="001622F9" w:rsidRPr="00854E91">
        <w:rPr>
          <w:rFonts w:cstheme="minorHAnsi"/>
        </w:rPr>
        <w:t>All cash transactions above ₹10 lakh (or foreign currency equivalent).</w:t>
      </w:r>
    </w:p>
    <w:p w14:paraId="60BF9CED" w14:textId="1C880E63" w:rsidR="001622F9" w:rsidRPr="00854E91" w:rsidRDefault="00B23492" w:rsidP="00B23492">
      <w:pPr>
        <w:rPr>
          <w:rFonts w:cstheme="minorHAnsi"/>
        </w:rPr>
      </w:pPr>
      <w:r w:rsidRPr="00854E91">
        <w:rPr>
          <w:rFonts w:cstheme="minorHAnsi"/>
        </w:rPr>
        <w:t>(</w:t>
      </w:r>
      <w:r w:rsidR="006B2FE4" w:rsidRPr="00854E91">
        <w:rPr>
          <w:rFonts w:cstheme="minorHAnsi"/>
        </w:rPr>
        <w:t>c</w:t>
      </w:r>
      <w:r w:rsidRPr="00854E91">
        <w:rPr>
          <w:rFonts w:cstheme="minorHAnsi"/>
        </w:rPr>
        <w:t xml:space="preserve">) </w:t>
      </w:r>
      <w:r w:rsidR="001622F9" w:rsidRPr="00854E91">
        <w:rPr>
          <w:rFonts w:cstheme="minorHAnsi"/>
        </w:rPr>
        <w:t>Series of connected cash transactions aggregated to ₹10 lakh in a month.</w:t>
      </w:r>
    </w:p>
    <w:p w14:paraId="31F42D14" w14:textId="7FBAAC32" w:rsidR="001622F9" w:rsidRPr="00854E91" w:rsidRDefault="006B2FE4" w:rsidP="00B23492">
      <w:pPr>
        <w:rPr>
          <w:rFonts w:cstheme="minorHAnsi"/>
        </w:rPr>
      </w:pPr>
      <w:r w:rsidRPr="00854E91">
        <w:rPr>
          <w:rFonts w:cstheme="minorHAnsi"/>
        </w:rPr>
        <w:t>(d)</w:t>
      </w:r>
      <w:r w:rsidR="00B23492" w:rsidRPr="00854E91">
        <w:rPr>
          <w:rFonts w:cstheme="minorHAnsi"/>
        </w:rPr>
        <w:t xml:space="preserve"> </w:t>
      </w:r>
      <w:r w:rsidR="001622F9" w:rsidRPr="00854E91">
        <w:rPr>
          <w:rFonts w:cstheme="minorHAnsi"/>
        </w:rPr>
        <w:t>Forgeries, counterfeiting, or suspicious/unusual account activities.</w:t>
      </w:r>
    </w:p>
    <w:p w14:paraId="7F723134" w14:textId="6ABC7AAB" w:rsidR="001622F9" w:rsidRPr="00854E91" w:rsidRDefault="00B23492" w:rsidP="00B23492">
      <w:pPr>
        <w:rPr>
          <w:rFonts w:cstheme="minorHAnsi"/>
        </w:rPr>
      </w:pPr>
      <w:r w:rsidRPr="00854E91">
        <w:rPr>
          <w:rFonts w:cstheme="minorHAnsi"/>
        </w:rPr>
        <w:t>(</w:t>
      </w:r>
      <w:r w:rsidR="006B2FE4" w:rsidRPr="00854E91">
        <w:rPr>
          <w:rFonts w:cstheme="minorHAnsi"/>
        </w:rPr>
        <w:t>e</w:t>
      </w:r>
      <w:r w:rsidRPr="00854E91">
        <w:rPr>
          <w:rFonts w:cstheme="minorHAnsi"/>
        </w:rPr>
        <w:t xml:space="preserve">) </w:t>
      </w:r>
      <w:r w:rsidR="001622F9" w:rsidRPr="00854E91">
        <w:rPr>
          <w:rFonts w:cstheme="minorHAnsi"/>
        </w:rPr>
        <w:t>Document details: nature, value, date, currency, and parties to each transaction.</w:t>
      </w:r>
    </w:p>
    <w:p w14:paraId="5AD68908" w14:textId="133C0BF6" w:rsidR="001622F9" w:rsidRPr="00854E91" w:rsidRDefault="006B2FE4" w:rsidP="00B23492">
      <w:pPr>
        <w:rPr>
          <w:rFonts w:cstheme="minorHAnsi"/>
        </w:rPr>
      </w:pPr>
      <w:r w:rsidRPr="00854E91">
        <w:rPr>
          <w:rFonts w:cstheme="minorHAnsi"/>
        </w:rPr>
        <w:t>(f)</w:t>
      </w:r>
      <w:r w:rsidR="00B23492" w:rsidRPr="00854E91">
        <w:rPr>
          <w:rFonts w:cstheme="minorHAnsi"/>
        </w:rPr>
        <w:t xml:space="preserve"> </w:t>
      </w:r>
      <w:r w:rsidR="001622F9" w:rsidRPr="00854E91">
        <w:rPr>
          <w:rFonts w:cstheme="minorHAnsi"/>
        </w:rPr>
        <w:t>Keep records for at least 10 years or longer if required for investigations.</w:t>
      </w:r>
    </w:p>
    <w:p w14:paraId="7353DC88" w14:textId="7CDA6BBB" w:rsidR="001622F9" w:rsidRPr="00854E91" w:rsidRDefault="00B23492" w:rsidP="00B23492">
      <w:pPr>
        <w:rPr>
          <w:rFonts w:cstheme="minorHAnsi"/>
        </w:rPr>
      </w:pPr>
      <w:r w:rsidRPr="00854E91">
        <w:rPr>
          <w:rFonts w:cstheme="minorHAnsi"/>
        </w:rPr>
        <w:t>(</w:t>
      </w:r>
      <w:r w:rsidR="006B2FE4" w:rsidRPr="00854E91">
        <w:rPr>
          <w:rFonts w:cstheme="minorHAnsi"/>
        </w:rPr>
        <w:t>g</w:t>
      </w:r>
      <w:r w:rsidRPr="00854E91">
        <w:rPr>
          <w:rFonts w:cstheme="minorHAnsi"/>
        </w:rPr>
        <w:t xml:space="preserve">) </w:t>
      </w:r>
      <w:r w:rsidR="001622F9" w:rsidRPr="00854E91">
        <w:rPr>
          <w:rFonts w:cstheme="minorHAnsi"/>
        </w:rPr>
        <w:t>Ensure prompt record retrieval for law enforcement.</w:t>
      </w:r>
    </w:p>
    <w:p w14:paraId="73404B6F" w14:textId="77777777" w:rsidR="001622F9" w:rsidRPr="00CA6658" w:rsidRDefault="001622F9" w:rsidP="001622F9">
      <w:pPr>
        <w:rPr>
          <w:rFonts w:cstheme="minorHAnsi"/>
          <w:b/>
          <w:bCs/>
        </w:rPr>
      </w:pPr>
      <w:r w:rsidRPr="00CA6658">
        <w:rPr>
          <w:rFonts w:cstheme="minorHAnsi"/>
          <w:b/>
          <w:bCs/>
        </w:rPr>
        <w:t>7. Monitoring for Suspicious Activities</w:t>
      </w:r>
    </w:p>
    <w:p w14:paraId="049ACF3F" w14:textId="77777777" w:rsidR="001622F9" w:rsidRPr="00854E91" w:rsidRDefault="001622F9" w:rsidP="001622F9">
      <w:pPr>
        <w:rPr>
          <w:rFonts w:cstheme="minorHAnsi"/>
        </w:rPr>
      </w:pPr>
      <w:r w:rsidRPr="00854E91">
        <w:rPr>
          <w:rFonts w:cstheme="minorHAnsi"/>
        </w:rPr>
        <w:t>Red Flags Include:</w:t>
      </w:r>
    </w:p>
    <w:p w14:paraId="420D6958" w14:textId="1407F073" w:rsidR="001622F9" w:rsidRPr="00854E91" w:rsidRDefault="00C302A9" w:rsidP="00C302A9">
      <w:pPr>
        <w:rPr>
          <w:rFonts w:cstheme="minorHAnsi"/>
        </w:rPr>
      </w:pPr>
      <w:r w:rsidRPr="00854E91">
        <w:rPr>
          <w:rFonts w:cstheme="minorHAnsi"/>
        </w:rPr>
        <w:t xml:space="preserve">(a) </w:t>
      </w:r>
      <w:r w:rsidR="001622F9" w:rsidRPr="00854E91">
        <w:rPr>
          <w:rFonts w:cstheme="minorHAnsi"/>
        </w:rPr>
        <w:t>Difficulty in client identity verification/lack of cooperation.</w:t>
      </w:r>
    </w:p>
    <w:p w14:paraId="178F3D6C" w14:textId="044B1157" w:rsidR="001622F9" w:rsidRPr="00854E91" w:rsidRDefault="00C302A9" w:rsidP="00C302A9">
      <w:pPr>
        <w:rPr>
          <w:rFonts w:cstheme="minorHAnsi"/>
        </w:rPr>
      </w:pPr>
      <w:r w:rsidRPr="00854E91">
        <w:rPr>
          <w:rFonts w:cstheme="minorHAnsi"/>
        </w:rPr>
        <w:t xml:space="preserve">(b) </w:t>
      </w:r>
      <w:r w:rsidR="001622F9" w:rsidRPr="00854E91">
        <w:rPr>
          <w:rFonts w:cstheme="minorHAnsi"/>
        </w:rPr>
        <w:t>Unclear funding sources.</w:t>
      </w:r>
    </w:p>
    <w:p w14:paraId="6D3413A6" w14:textId="55DE6F24" w:rsidR="001622F9" w:rsidRPr="00854E91" w:rsidRDefault="00C302A9" w:rsidP="00C302A9">
      <w:pPr>
        <w:rPr>
          <w:rFonts w:cstheme="minorHAnsi"/>
        </w:rPr>
      </w:pPr>
      <w:r w:rsidRPr="00854E91">
        <w:rPr>
          <w:rFonts w:cstheme="minorHAnsi"/>
        </w:rPr>
        <w:t xml:space="preserve">(c) </w:t>
      </w:r>
      <w:r w:rsidR="001622F9" w:rsidRPr="00854E91">
        <w:rPr>
          <w:rFonts w:cstheme="minorHAnsi"/>
        </w:rPr>
        <w:t>Clients from or connected with high-risk countries/institutions.</w:t>
      </w:r>
    </w:p>
    <w:p w14:paraId="01E2C916" w14:textId="287B2853" w:rsidR="001622F9" w:rsidRPr="00854E91" w:rsidRDefault="00C302A9" w:rsidP="00C302A9">
      <w:pPr>
        <w:rPr>
          <w:rFonts w:cstheme="minorHAnsi"/>
        </w:rPr>
      </w:pPr>
      <w:r w:rsidRPr="00854E91">
        <w:rPr>
          <w:rFonts w:cstheme="minorHAnsi"/>
        </w:rPr>
        <w:t xml:space="preserve">(d) </w:t>
      </w:r>
      <w:r w:rsidR="001622F9" w:rsidRPr="00854E91">
        <w:rPr>
          <w:rFonts w:cstheme="minorHAnsi"/>
        </w:rPr>
        <w:t>Unusual surge in business or cash deposits.</w:t>
      </w:r>
    </w:p>
    <w:p w14:paraId="7448F52E" w14:textId="72F97A95" w:rsidR="001622F9" w:rsidRPr="00854E91" w:rsidRDefault="00C302A9" w:rsidP="00C302A9">
      <w:pPr>
        <w:rPr>
          <w:rFonts w:cstheme="minorHAnsi"/>
        </w:rPr>
      </w:pPr>
      <w:r w:rsidRPr="00854E91">
        <w:rPr>
          <w:rFonts w:cstheme="minorHAnsi"/>
        </w:rPr>
        <w:t xml:space="preserve">(e) </w:t>
      </w:r>
      <w:r w:rsidR="001622F9" w:rsidRPr="00854E91">
        <w:rPr>
          <w:rFonts w:cstheme="minorHAnsi"/>
        </w:rPr>
        <w:t>Large cross-border cash flows.</w:t>
      </w:r>
    </w:p>
    <w:p w14:paraId="2DF2DBA7" w14:textId="4766F490" w:rsidR="001622F9" w:rsidRPr="00854E91" w:rsidRDefault="0061462A" w:rsidP="0061462A">
      <w:pPr>
        <w:rPr>
          <w:rFonts w:cstheme="minorHAnsi"/>
        </w:rPr>
      </w:pPr>
      <w:r w:rsidRPr="00854E91">
        <w:rPr>
          <w:rFonts w:cstheme="minorHAnsi"/>
        </w:rPr>
        <w:t xml:space="preserve">(f) </w:t>
      </w:r>
      <w:r w:rsidR="001622F9" w:rsidRPr="00854E91">
        <w:rPr>
          <w:rFonts w:cstheme="minorHAnsi"/>
        </w:rPr>
        <w:t>Proceeds credited to unrelated third parties.</w:t>
      </w:r>
    </w:p>
    <w:p w14:paraId="58E15C79" w14:textId="4B7F1CFB" w:rsidR="001622F9" w:rsidRPr="00854E91" w:rsidRDefault="0061462A" w:rsidP="0061462A">
      <w:pPr>
        <w:rPr>
          <w:rFonts w:cstheme="minorHAnsi"/>
        </w:rPr>
      </w:pPr>
      <w:r w:rsidRPr="00854E91">
        <w:rPr>
          <w:rFonts w:cstheme="minorHAnsi"/>
        </w:rPr>
        <w:t xml:space="preserve">(g) </w:t>
      </w:r>
      <w:r w:rsidR="001622F9" w:rsidRPr="00854E91">
        <w:rPr>
          <w:rFonts w:cstheme="minorHAnsi"/>
        </w:rPr>
        <w:t>Transactions via shell/offshore entities or special category clients.</w:t>
      </w:r>
    </w:p>
    <w:p w14:paraId="58A580BF" w14:textId="77777777" w:rsidR="001622F9" w:rsidRPr="00854E91" w:rsidRDefault="001622F9" w:rsidP="001622F9">
      <w:pPr>
        <w:rPr>
          <w:rFonts w:cstheme="minorHAnsi"/>
        </w:rPr>
      </w:pPr>
      <w:r w:rsidRPr="00854E91">
        <w:rPr>
          <w:rFonts w:cstheme="minorHAnsi"/>
          <w:color w:val="EE0000"/>
        </w:rPr>
        <w:t>Any red flag must be investigated and escalated to the Principal Officer for action</w:t>
      </w:r>
      <w:r w:rsidRPr="00854E91">
        <w:rPr>
          <w:rFonts w:cstheme="minorHAnsi"/>
        </w:rPr>
        <w:t>.</w:t>
      </w:r>
    </w:p>
    <w:p w14:paraId="604903B7" w14:textId="77777777" w:rsidR="001622F9" w:rsidRPr="000429D0" w:rsidRDefault="001622F9" w:rsidP="001622F9">
      <w:pPr>
        <w:rPr>
          <w:rFonts w:cstheme="minorHAnsi"/>
          <w:b/>
          <w:bCs/>
        </w:rPr>
      </w:pPr>
      <w:r w:rsidRPr="000429D0">
        <w:rPr>
          <w:rFonts w:cstheme="minorHAnsi"/>
          <w:b/>
          <w:bCs/>
        </w:rPr>
        <w:t>8. Reporting to Financial Intelligence Unit – India (FIU-IND)</w:t>
      </w:r>
    </w:p>
    <w:p w14:paraId="6C2065A2" w14:textId="3B17FBD8" w:rsidR="001622F9" w:rsidRPr="00854E91" w:rsidRDefault="00EA0625" w:rsidP="00EA0625">
      <w:pPr>
        <w:rPr>
          <w:rFonts w:cstheme="minorHAnsi"/>
        </w:rPr>
      </w:pPr>
      <w:r w:rsidRPr="00854E91">
        <w:rPr>
          <w:rFonts w:cstheme="minorHAnsi"/>
        </w:rPr>
        <w:t xml:space="preserve">(a) </w:t>
      </w:r>
      <w:r w:rsidR="001622F9" w:rsidRPr="00854E91">
        <w:rPr>
          <w:rFonts w:cstheme="minorHAnsi"/>
        </w:rPr>
        <w:t>Report all cash and suspicious transactions to FIU-IND, following the stipulated format and timelines.</w:t>
      </w:r>
    </w:p>
    <w:p w14:paraId="31E7F61B" w14:textId="727699AD" w:rsidR="001622F9" w:rsidRPr="00854E91" w:rsidRDefault="00EA0625" w:rsidP="00EA0625">
      <w:pPr>
        <w:rPr>
          <w:rFonts w:cstheme="minorHAnsi"/>
        </w:rPr>
      </w:pPr>
      <w:r w:rsidRPr="00854E91">
        <w:rPr>
          <w:rFonts w:cstheme="minorHAnsi"/>
        </w:rPr>
        <w:t xml:space="preserve">(b) </w:t>
      </w:r>
      <w:r w:rsidR="001622F9" w:rsidRPr="00854E91">
        <w:rPr>
          <w:rFonts w:cstheme="minorHAnsi"/>
        </w:rPr>
        <w:t>Utmost confidentiality is maintained—no tipping off clients.</w:t>
      </w:r>
    </w:p>
    <w:p w14:paraId="2AD94632" w14:textId="48A075E1" w:rsidR="001622F9" w:rsidRPr="00854E91" w:rsidRDefault="00EA0625" w:rsidP="00EA0625">
      <w:pPr>
        <w:rPr>
          <w:rFonts w:cstheme="minorHAnsi"/>
        </w:rPr>
      </w:pPr>
      <w:r w:rsidRPr="00854E91">
        <w:rPr>
          <w:rFonts w:cstheme="minorHAnsi"/>
        </w:rPr>
        <w:t xml:space="preserve">(c) </w:t>
      </w:r>
      <w:r w:rsidR="001622F9" w:rsidRPr="00854E91">
        <w:rPr>
          <w:rFonts w:cstheme="minorHAnsi"/>
        </w:rPr>
        <w:t>No restrictions are imposed on client accounts solely due to STR submission.</w:t>
      </w:r>
    </w:p>
    <w:p w14:paraId="6C66C494" w14:textId="76C44741" w:rsidR="001622F9" w:rsidRPr="00854E91" w:rsidRDefault="002C2B63" w:rsidP="002C2B63">
      <w:pPr>
        <w:rPr>
          <w:rFonts w:cstheme="minorHAnsi"/>
        </w:rPr>
      </w:pPr>
      <w:r w:rsidRPr="00854E91">
        <w:rPr>
          <w:rFonts w:cstheme="minorHAnsi"/>
        </w:rPr>
        <w:t xml:space="preserve">(d) </w:t>
      </w:r>
      <w:r w:rsidR="001622F9" w:rsidRPr="00854E91">
        <w:rPr>
          <w:rFonts w:cstheme="minorHAnsi"/>
        </w:rPr>
        <w:t>Maintain all documentation supporting CTRs/STRs as per regulations.</w:t>
      </w:r>
    </w:p>
    <w:p w14:paraId="3D90487E" w14:textId="382CE2C2" w:rsidR="001622F9" w:rsidRPr="00854E91" w:rsidRDefault="002C2B63" w:rsidP="002C2B63">
      <w:pPr>
        <w:rPr>
          <w:rFonts w:cstheme="minorHAnsi"/>
        </w:rPr>
      </w:pPr>
      <w:r w:rsidRPr="00854E91">
        <w:rPr>
          <w:rFonts w:cstheme="minorHAnsi"/>
        </w:rPr>
        <w:t xml:space="preserve">(e) </w:t>
      </w:r>
      <w:r w:rsidR="001622F9" w:rsidRPr="00854E91">
        <w:rPr>
          <w:rFonts w:cstheme="minorHAnsi"/>
        </w:rPr>
        <w:t>No "nil" reporting necessary if there are no reportable transactions.</w:t>
      </w:r>
    </w:p>
    <w:p w14:paraId="6339E4CF" w14:textId="77777777" w:rsidR="001622F9" w:rsidRPr="00853CEE" w:rsidRDefault="001622F9" w:rsidP="001622F9">
      <w:pPr>
        <w:rPr>
          <w:rFonts w:cstheme="minorHAnsi"/>
          <w:b/>
          <w:bCs/>
        </w:rPr>
      </w:pPr>
      <w:r w:rsidRPr="00853CEE">
        <w:rPr>
          <w:rFonts w:cstheme="minorHAnsi"/>
          <w:b/>
          <w:bCs/>
        </w:rPr>
        <w:t>9. Internal Audit</w:t>
      </w:r>
    </w:p>
    <w:p w14:paraId="3F0BCDA3" w14:textId="2F90067B" w:rsidR="001622F9" w:rsidRPr="00854E91" w:rsidRDefault="00516D99" w:rsidP="00516D99">
      <w:pPr>
        <w:rPr>
          <w:rFonts w:cstheme="minorHAnsi"/>
        </w:rPr>
      </w:pPr>
      <w:r w:rsidRPr="00854E91">
        <w:rPr>
          <w:rFonts w:cstheme="minorHAnsi"/>
        </w:rPr>
        <w:t xml:space="preserve">(a) </w:t>
      </w:r>
      <w:r w:rsidR="001622F9" w:rsidRPr="00854E91">
        <w:rPr>
          <w:rFonts w:cstheme="minorHAnsi"/>
        </w:rPr>
        <w:t>Periodic audits are conducted to check adherence to AML policy, detection/reporting of suspect transactions, and employee awareness.</w:t>
      </w:r>
    </w:p>
    <w:p w14:paraId="42DCCA65" w14:textId="6A06BBB1" w:rsidR="001622F9" w:rsidRPr="00854E91" w:rsidRDefault="00516D99" w:rsidP="00516D99">
      <w:pPr>
        <w:rPr>
          <w:rFonts w:cstheme="minorHAnsi"/>
        </w:rPr>
      </w:pPr>
      <w:r w:rsidRPr="00854E91">
        <w:rPr>
          <w:rFonts w:cstheme="minorHAnsi"/>
        </w:rPr>
        <w:t xml:space="preserve">(b) </w:t>
      </w:r>
      <w:r w:rsidR="001622F9" w:rsidRPr="00854E91">
        <w:rPr>
          <w:rFonts w:cstheme="minorHAnsi"/>
        </w:rPr>
        <w:t>Audit functions review exception reports and reporting quality.</w:t>
      </w:r>
    </w:p>
    <w:p w14:paraId="2B4D58EA" w14:textId="77777777" w:rsidR="001622F9" w:rsidRPr="00D41EAD" w:rsidRDefault="001622F9" w:rsidP="001622F9">
      <w:pPr>
        <w:rPr>
          <w:rFonts w:cstheme="minorHAnsi"/>
          <w:b/>
          <w:bCs/>
        </w:rPr>
      </w:pPr>
      <w:r w:rsidRPr="00D41EAD">
        <w:rPr>
          <w:rFonts w:cstheme="minorHAnsi"/>
          <w:b/>
          <w:bCs/>
        </w:rPr>
        <w:t>10. Employee Training and Investor Education</w:t>
      </w:r>
    </w:p>
    <w:p w14:paraId="5158C2C7" w14:textId="2E5C3DDD" w:rsidR="001622F9" w:rsidRPr="00854E91" w:rsidRDefault="006071BE" w:rsidP="006071BE">
      <w:pPr>
        <w:rPr>
          <w:rFonts w:cstheme="minorHAnsi"/>
        </w:rPr>
      </w:pPr>
      <w:r w:rsidRPr="00854E91">
        <w:rPr>
          <w:rFonts w:cstheme="minorHAnsi"/>
        </w:rPr>
        <w:t>(a)</w:t>
      </w:r>
      <w:r w:rsidR="00B33419" w:rsidRPr="00854E91">
        <w:rPr>
          <w:rFonts w:cstheme="minorHAnsi"/>
        </w:rPr>
        <w:t xml:space="preserve"> </w:t>
      </w:r>
      <w:r w:rsidR="001622F9" w:rsidRPr="00854E91">
        <w:rPr>
          <w:rFonts w:cstheme="minorHAnsi"/>
        </w:rPr>
        <w:t>Ongoing AML/KYC training for all staff, focusing on recognizing and responding to red flags.</w:t>
      </w:r>
    </w:p>
    <w:p w14:paraId="553527DB" w14:textId="59D07D1A" w:rsidR="001622F9" w:rsidRPr="00854E91" w:rsidRDefault="006071BE" w:rsidP="006071BE">
      <w:pPr>
        <w:rPr>
          <w:rFonts w:cstheme="minorHAnsi"/>
        </w:rPr>
      </w:pPr>
      <w:r w:rsidRPr="00854E91">
        <w:rPr>
          <w:rFonts w:cstheme="minorHAnsi"/>
        </w:rPr>
        <w:t>(b)</w:t>
      </w:r>
      <w:r w:rsidR="00B33419" w:rsidRPr="00854E91">
        <w:rPr>
          <w:rFonts w:cstheme="minorHAnsi"/>
        </w:rPr>
        <w:t xml:space="preserve"> </w:t>
      </w:r>
      <w:r w:rsidR="001622F9" w:rsidRPr="00854E91">
        <w:rPr>
          <w:rFonts w:cstheme="minorHAnsi"/>
        </w:rPr>
        <w:t>Specialized training for employees in compliance or risk-sensitive roles.</w:t>
      </w:r>
    </w:p>
    <w:p w14:paraId="7346D50C" w14:textId="75F2C71C" w:rsidR="001622F9" w:rsidRPr="00854E91" w:rsidRDefault="006071BE" w:rsidP="006071BE">
      <w:pPr>
        <w:rPr>
          <w:rFonts w:cstheme="minorHAnsi"/>
        </w:rPr>
      </w:pPr>
      <w:r w:rsidRPr="00854E91">
        <w:rPr>
          <w:rFonts w:cstheme="minorHAnsi"/>
        </w:rPr>
        <w:t xml:space="preserve">(c) </w:t>
      </w:r>
      <w:r w:rsidR="001622F9" w:rsidRPr="00854E91">
        <w:rPr>
          <w:rFonts w:cstheme="minorHAnsi"/>
        </w:rPr>
        <w:t>Educational materials include lectures, memos, e-pamphlets, and digital resources.</w:t>
      </w:r>
    </w:p>
    <w:p w14:paraId="7F681B0D" w14:textId="2AAFF320" w:rsidR="001622F9" w:rsidRPr="00854E91" w:rsidRDefault="0052794E" w:rsidP="0052794E">
      <w:pPr>
        <w:rPr>
          <w:rFonts w:cstheme="minorHAnsi"/>
        </w:rPr>
      </w:pPr>
      <w:r w:rsidRPr="00854E91">
        <w:rPr>
          <w:rFonts w:cstheme="minorHAnsi"/>
        </w:rPr>
        <w:t xml:space="preserve">(e) </w:t>
      </w:r>
      <w:r w:rsidR="001622F9" w:rsidRPr="00854E91">
        <w:rPr>
          <w:rFonts w:cstheme="minorHAnsi"/>
        </w:rPr>
        <w:t>Customers are sensitized to the rationale behind KYC/AML documentation.</w:t>
      </w:r>
    </w:p>
    <w:p w14:paraId="57E2BEED" w14:textId="77777777" w:rsidR="001622F9" w:rsidRPr="00D41EAD" w:rsidRDefault="001622F9" w:rsidP="001622F9">
      <w:pPr>
        <w:rPr>
          <w:rFonts w:cstheme="minorHAnsi"/>
          <w:b/>
          <w:bCs/>
        </w:rPr>
      </w:pPr>
      <w:r w:rsidRPr="00D41EAD">
        <w:rPr>
          <w:rFonts w:cstheme="minorHAnsi"/>
          <w:b/>
          <w:bCs/>
        </w:rPr>
        <w:t>11. Employee Conduct and Confidential Reporting</w:t>
      </w:r>
    </w:p>
    <w:p w14:paraId="30C37805" w14:textId="6BFBE6A4" w:rsidR="001622F9" w:rsidRPr="00854E91" w:rsidRDefault="003E1B45" w:rsidP="003E1B45">
      <w:pPr>
        <w:rPr>
          <w:rFonts w:cstheme="minorHAnsi"/>
        </w:rPr>
      </w:pPr>
      <w:r w:rsidRPr="00854E91">
        <w:rPr>
          <w:rFonts w:cstheme="minorHAnsi"/>
        </w:rPr>
        <w:t xml:space="preserve">(a) </w:t>
      </w:r>
      <w:r w:rsidR="001622F9" w:rsidRPr="00854E91">
        <w:rPr>
          <w:rFonts w:cstheme="minorHAnsi"/>
        </w:rPr>
        <w:t>Employees' accounts are subject to AML checks similar to client accounts.</w:t>
      </w:r>
    </w:p>
    <w:p w14:paraId="55E01D33" w14:textId="7F9AAD6B" w:rsidR="001622F9" w:rsidRPr="00854E91" w:rsidRDefault="003E1B45" w:rsidP="003E1B45">
      <w:pPr>
        <w:rPr>
          <w:rFonts w:cstheme="minorHAnsi"/>
        </w:rPr>
      </w:pPr>
      <w:r w:rsidRPr="00854E91">
        <w:rPr>
          <w:rFonts w:cstheme="minorHAnsi"/>
        </w:rPr>
        <w:t xml:space="preserve">(b) </w:t>
      </w:r>
      <w:r w:rsidR="001622F9" w:rsidRPr="00854E91">
        <w:rPr>
          <w:rFonts w:cstheme="minorHAnsi"/>
        </w:rPr>
        <w:t>The Managing Director reviews the Principal Officer’s account.</w:t>
      </w:r>
    </w:p>
    <w:p w14:paraId="11CD0F03" w14:textId="79904DA8" w:rsidR="001622F9" w:rsidRPr="00854E91" w:rsidRDefault="003E1B45" w:rsidP="003E1B45">
      <w:pPr>
        <w:rPr>
          <w:rFonts w:cstheme="minorHAnsi"/>
        </w:rPr>
      </w:pPr>
      <w:r w:rsidRPr="00854E91">
        <w:rPr>
          <w:rFonts w:cstheme="minorHAnsi"/>
        </w:rPr>
        <w:t xml:space="preserve">(c) </w:t>
      </w:r>
      <w:r w:rsidR="001622F9" w:rsidRPr="00854E91">
        <w:rPr>
          <w:rFonts w:cstheme="minorHAnsi"/>
        </w:rPr>
        <w:t>Whistleblower mechanism: Employees may confidentially report AML non-compliance without fear of reprisal.</w:t>
      </w:r>
    </w:p>
    <w:p w14:paraId="02C5A5A2" w14:textId="77777777" w:rsidR="001622F9" w:rsidRPr="009E081D" w:rsidRDefault="001622F9" w:rsidP="001622F9">
      <w:pPr>
        <w:rPr>
          <w:rFonts w:cstheme="minorHAnsi"/>
          <w:b/>
          <w:bCs/>
        </w:rPr>
      </w:pPr>
      <w:r w:rsidRPr="009E081D">
        <w:rPr>
          <w:rFonts w:cstheme="minorHAnsi"/>
          <w:b/>
          <w:bCs/>
        </w:rPr>
        <w:t>12. Policy Review and Communication</w:t>
      </w:r>
    </w:p>
    <w:p w14:paraId="736FEC86" w14:textId="6672372A" w:rsidR="001622F9" w:rsidRPr="00854E91" w:rsidRDefault="00DF3C4B" w:rsidP="00DF3C4B">
      <w:pPr>
        <w:rPr>
          <w:rFonts w:cstheme="minorHAnsi"/>
        </w:rPr>
      </w:pPr>
      <w:r w:rsidRPr="00854E91">
        <w:rPr>
          <w:rFonts w:cstheme="minorHAnsi"/>
        </w:rPr>
        <w:t xml:space="preserve">(a) </w:t>
      </w:r>
      <w:r w:rsidR="001622F9" w:rsidRPr="00854E91">
        <w:rPr>
          <w:rFonts w:cstheme="minorHAnsi"/>
        </w:rPr>
        <w:t>The AML policy is periodically reviewed and updated to reflect regulatory changes.</w:t>
      </w:r>
    </w:p>
    <w:p w14:paraId="27D1C51F" w14:textId="17698DBA" w:rsidR="001622F9" w:rsidRPr="00854E91" w:rsidRDefault="00DF3C4B" w:rsidP="00DF3C4B">
      <w:pPr>
        <w:rPr>
          <w:rFonts w:cstheme="minorHAnsi"/>
        </w:rPr>
      </w:pPr>
      <w:r w:rsidRPr="00854E91">
        <w:rPr>
          <w:rFonts w:cstheme="minorHAnsi"/>
        </w:rPr>
        <w:t xml:space="preserve">(b) </w:t>
      </w:r>
      <w:r w:rsidR="001622F9" w:rsidRPr="00854E91">
        <w:rPr>
          <w:rFonts w:cstheme="minorHAnsi"/>
        </w:rPr>
        <w:t>Any amendments effective from the date of the statutory change; updated policy presented to the Board.</w:t>
      </w:r>
    </w:p>
    <w:p w14:paraId="35840B28" w14:textId="71B96348" w:rsidR="001622F9" w:rsidRDefault="00DF3C4B" w:rsidP="00DF3C4B">
      <w:pPr>
        <w:rPr>
          <w:rFonts w:cstheme="minorHAnsi"/>
        </w:rPr>
      </w:pPr>
      <w:r w:rsidRPr="00854E91">
        <w:rPr>
          <w:rFonts w:cstheme="minorHAnsi"/>
        </w:rPr>
        <w:t xml:space="preserve">(c) </w:t>
      </w:r>
      <w:r w:rsidR="001622F9" w:rsidRPr="00854E91">
        <w:rPr>
          <w:rFonts w:cstheme="minorHAnsi"/>
        </w:rPr>
        <w:t>Principal Officer ensures clear communication of the policy to management, staff, directors, department heads, and clients.</w:t>
      </w:r>
    </w:p>
    <w:p w14:paraId="5FFE1219" w14:textId="189E6CB3" w:rsidR="00305432" w:rsidRPr="00305432" w:rsidRDefault="00305432" w:rsidP="00305432">
      <w:pPr>
        <w:rPr>
          <w:rFonts w:cstheme="minorHAnsi"/>
          <w:b/>
          <w:bCs/>
        </w:rPr>
      </w:pPr>
      <w:r w:rsidRPr="00305432">
        <w:rPr>
          <w:rFonts w:cstheme="minorHAnsi"/>
          <w:b/>
          <w:bCs/>
        </w:rPr>
        <w:t>13. Certification Requirement for Research Analysts and Associates</w:t>
      </w:r>
    </w:p>
    <w:p w14:paraId="775A7279" w14:textId="77777777" w:rsidR="003104ED" w:rsidRDefault="00305432" w:rsidP="00305432">
      <w:pPr>
        <w:rPr>
          <w:rFonts w:cstheme="minorHAnsi"/>
        </w:rPr>
      </w:pPr>
      <w:r w:rsidRPr="00305432">
        <w:rPr>
          <w:rFonts w:cstheme="minorHAnsi"/>
        </w:rPr>
        <w:t>All associates in the Research Analyst team, including Research Analysts, Compliance Officers, Partners, and Directors, must take</w:t>
      </w:r>
      <w:r w:rsidR="00AF2AD3">
        <w:rPr>
          <w:rFonts w:cstheme="minorHAnsi"/>
        </w:rPr>
        <w:t xml:space="preserve"> the initiative to clear</w:t>
      </w:r>
      <w:r w:rsidRPr="00305432">
        <w:rPr>
          <w:rFonts w:cstheme="minorHAnsi"/>
        </w:rPr>
        <w:t xml:space="preserve"> the </w:t>
      </w:r>
      <w:r w:rsidR="00AF2AD3" w:rsidRPr="00AF2AD3">
        <w:rPr>
          <w:rFonts w:cstheme="minorHAnsi"/>
        </w:rPr>
        <w:t>NISM-Series-XXIV: AML and CFT Provisions in Securities Markets</w:t>
      </w:r>
      <w:r w:rsidRPr="00305432">
        <w:rPr>
          <w:rFonts w:cstheme="minorHAnsi"/>
        </w:rPr>
        <w:t xml:space="preserve">. </w:t>
      </w:r>
    </w:p>
    <w:p w14:paraId="31092D1D" w14:textId="224CCCD3" w:rsidR="00305432" w:rsidRPr="00305432" w:rsidRDefault="00305432" w:rsidP="00305432">
      <w:pPr>
        <w:rPr>
          <w:rFonts w:cstheme="minorHAnsi"/>
        </w:rPr>
      </w:pPr>
      <w:r w:rsidRPr="00305432">
        <w:rPr>
          <w:rFonts w:cstheme="minorHAnsi"/>
        </w:rPr>
        <w:t>This exam focuses on AML and CFT regulations in accordance with Indian law (PMLA, SEBI guidelines) as they pertain to the securities markets.</w:t>
      </w:r>
    </w:p>
    <w:p w14:paraId="481477D1" w14:textId="77777777" w:rsidR="00305432" w:rsidRPr="00305432" w:rsidRDefault="00305432" w:rsidP="00305432">
      <w:pPr>
        <w:rPr>
          <w:rFonts w:cstheme="minorHAnsi"/>
          <w:b/>
          <w:bCs/>
        </w:rPr>
      </w:pPr>
      <w:r w:rsidRPr="00305432">
        <w:rPr>
          <w:rFonts w:cstheme="minorHAnsi"/>
          <w:b/>
          <w:bCs/>
        </w:rPr>
        <w:t>## Fee Refund Policy</w:t>
      </w:r>
    </w:p>
    <w:p w14:paraId="0DE4E5A2" w14:textId="10BCDEAE" w:rsidR="00305432" w:rsidRDefault="00305432" w:rsidP="00DF3C4B">
      <w:pPr>
        <w:rPr>
          <w:rFonts w:cstheme="minorHAnsi"/>
        </w:rPr>
      </w:pPr>
      <w:r w:rsidRPr="00305432">
        <w:rPr>
          <w:rFonts w:cstheme="minorHAnsi"/>
        </w:rPr>
        <w:t>All eligible associates will receive a refund of their NISM fees once they successfully pass the exam.</w:t>
      </w:r>
    </w:p>
    <w:p w14:paraId="4DAB7A4B" w14:textId="44C4A50E" w:rsidR="00F24AA6" w:rsidRPr="00211795" w:rsidRDefault="00F24AA6" w:rsidP="00DF3C4B">
      <w:pPr>
        <w:rPr>
          <w:rFonts w:cstheme="minorHAnsi"/>
          <w:b/>
          <w:bCs/>
        </w:rPr>
      </w:pPr>
      <w:r w:rsidRPr="00211795">
        <w:rPr>
          <w:rFonts w:cstheme="minorHAnsi"/>
          <w:b/>
          <w:bCs/>
        </w:rPr>
        <w:t xml:space="preserve">14. </w:t>
      </w:r>
      <w:r w:rsidR="00DF4F69" w:rsidRPr="00211795">
        <w:rPr>
          <w:rFonts w:cstheme="minorHAnsi"/>
          <w:b/>
          <w:bCs/>
        </w:rPr>
        <w:t>Customer Due Diligence (CDD)</w:t>
      </w:r>
    </w:p>
    <w:p w14:paraId="122DA08D" w14:textId="4CA2ABBE" w:rsidR="00211795" w:rsidRPr="00211795" w:rsidRDefault="000829E4" w:rsidP="00211795">
      <w:pPr>
        <w:rPr>
          <w:rFonts w:cstheme="minorHAnsi"/>
          <w:b/>
          <w:bCs/>
          <w:color w:val="4472C4" w:themeColor="accent1"/>
        </w:rPr>
      </w:pPr>
      <w:r w:rsidRPr="008255C8">
        <w:rPr>
          <w:rFonts w:ascii="Segoe UI Emoji" w:hAnsi="Segoe UI Emoji" w:cs="Segoe UI Emoji"/>
          <w:b/>
          <w:bCs/>
        </w:rPr>
        <w:t>✅</w:t>
      </w:r>
      <w:r w:rsidR="00211795" w:rsidRPr="00211795">
        <w:rPr>
          <w:rFonts w:cstheme="minorHAnsi"/>
          <w:b/>
          <w:bCs/>
          <w:color w:val="4472C4" w:themeColor="accent1"/>
        </w:rPr>
        <w:t>Customer Due Diligence (CDD) Procedure as per SEBI Guidelines</w:t>
      </w:r>
    </w:p>
    <w:p w14:paraId="7B74F512" w14:textId="77777777" w:rsidR="00211795" w:rsidRPr="00211795" w:rsidRDefault="00211795" w:rsidP="00211795">
      <w:pPr>
        <w:rPr>
          <w:rFonts w:cstheme="minorHAnsi"/>
          <w:b/>
          <w:bCs/>
        </w:rPr>
      </w:pPr>
      <w:r w:rsidRPr="00211795">
        <w:rPr>
          <w:rFonts w:cstheme="minorHAnsi"/>
          <w:b/>
          <w:bCs/>
        </w:rPr>
        <w:t>Key Features of the SEBI CDD Procedure</w:t>
      </w:r>
    </w:p>
    <w:p w14:paraId="50EAA80D" w14:textId="16988AA2"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Identification and verification of the client and beneficial owner through prescribed KYC documents at the onset of any account-based relationship or for transactions exceeding ₹50,000.</w:t>
      </w:r>
    </w:p>
    <w:p w14:paraId="553DE5F2" w14:textId="0B3131C9"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Gathering information regarding the purpose and intended nature of the business relationship from the client.</w:t>
      </w:r>
    </w:p>
    <w:p w14:paraId="42AB4BFB" w14:textId="513A8A10"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Assessing the client's business, ownership structure, and control patterns to evaluate risk.</w:t>
      </w:r>
    </w:p>
    <w:p w14:paraId="408EB892" w14:textId="7AE84E43"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Special due diligence (Enhanced Due Diligence - EDD) is required for clients belonging to special categories (CSC), which include non-residents, politically exposed persons (PEPs), high-net-worth individuals, trusts, NGOs, and clients from high-risk jurisdictions.</w:t>
      </w:r>
    </w:p>
    <w:p w14:paraId="3E4B9174" w14:textId="18AE2EF9"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Ongoing monitoring of transactions throughout the relationship to ensure alignment with the client's profile, source of funds, and risk rating.</w:t>
      </w:r>
    </w:p>
    <w:p w14:paraId="7417F5DD" w14:textId="2A871055"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Reliance on third parties for CDD is allowed if they are regulated, supervised, and adhere to AML/CFT regulations, along with maintaining proper records and transparency.</w:t>
      </w:r>
    </w:p>
    <w:p w14:paraId="5640209C" w14:textId="61352D90" w:rsidR="00211795" w:rsidRPr="00211795" w:rsidRDefault="004E4338" w:rsidP="00211795">
      <w:pPr>
        <w:rPr>
          <w:rFonts w:cstheme="minorHAnsi"/>
        </w:rPr>
      </w:pPr>
      <w:r w:rsidRPr="008255C8">
        <w:rPr>
          <w:rFonts w:ascii="Segoe UI Emoji" w:hAnsi="Segoe UI Emoji" w:cs="Segoe UI Emoji"/>
          <w:b/>
          <w:bCs/>
        </w:rPr>
        <w:t>✅</w:t>
      </w:r>
      <w:r w:rsidR="00211795" w:rsidRPr="00211795">
        <w:rPr>
          <w:rFonts w:cstheme="minorHAnsi"/>
        </w:rPr>
        <w:t>Anonymous or fictitious accounts are prohibited; continuous updates of KYC information are essential.</w:t>
      </w:r>
    </w:p>
    <w:p w14:paraId="68755984" w14:textId="436FA4AC" w:rsidR="00F24AA6" w:rsidRDefault="004E4338" w:rsidP="00DF3C4B">
      <w:pPr>
        <w:rPr>
          <w:rFonts w:cstheme="minorHAnsi"/>
        </w:rPr>
      </w:pPr>
      <w:r w:rsidRPr="008255C8">
        <w:rPr>
          <w:rFonts w:ascii="Segoe UI Emoji" w:hAnsi="Segoe UI Emoji" w:cs="Segoe UI Emoji"/>
          <w:b/>
          <w:bCs/>
        </w:rPr>
        <w:t>✅</w:t>
      </w:r>
      <w:r w:rsidR="00211795" w:rsidRPr="00211795">
        <w:rPr>
          <w:rFonts w:cstheme="minorHAnsi"/>
        </w:rPr>
        <w:t>Digital KYC processes have been implemented, including in-person verification via video and electronic Aadhaar authentication, to facilitate seamless client onboarding.</w:t>
      </w:r>
    </w:p>
    <w:p w14:paraId="42714211" w14:textId="77777777" w:rsidR="00D70139" w:rsidRDefault="00D70139" w:rsidP="00DF3C4B">
      <w:pPr>
        <w:rPr>
          <w:rFonts w:cstheme="minorHAnsi"/>
        </w:rPr>
      </w:pPr>
    </w:p>
    <w:p w14:paraId="5FF4C47E" w14:textId="697AEA89" w:rsidR="00D70139" w:rsidRPr="00D70139" w:rsidRDefault="001C4D67" w:rsidP="00D70139">
      <w:pPr>
        <w:rPr>
          <w:rFonts w:ascii="Segoe UI Emoji" w:hAnsi="Segoe UI Emoji" w:cs="Segoe UI Emoji"/>
          <w:b/>
          <w:bCs/>
        </w:rPr>
      </w:pPr>
      <w:r w:rsidRPr="008255C8">
        <w:rPr>
          <w:rFonts w:ascii="Segoe UI Emoji" w:hAnsi="Segoe UI Emoji" w:cs="Segoe UI Emoji"/>
          <w:b/>
          <w:bCs/>
        </w:rPr>
        <w:t>📌</w:t>
      </w:r>
      <w:r w:rsidR="00D70139" w:rsidRPr="00D70139">
        <w:rPr>
          <w:rFonts w:ascii="Segoe UI Emoji" w:hAnsi="Segoe UI Emoji" w:cs="Segoe UI Emoji"/>
          <w:b/>
          <w:bCs/>
        </w:rPr>
        <w:t>Important Note</w:t>
      </w:r>
    </w:p>
    <w:p w14:paraId="27C0C3A7" w14:textId="77777777" w:rsidR="005E5F8F" w:rsidRDefault="00D70139" w:rsidP="00D70139">
      <w:pPr>
        <w:rPr>
          <w:rFonts w:ascii="Segoe UI Emoji" w:hAnsi="Segoe UI Emoji" w:cs="Segoe UI Emoji"/>
        </w:rPr>
      </w:pPr>
      <w:r w:rsidRPr="00D70139">
        <w:rPr>
          <w:rFonts w:ascii="Segoe UI Emoji" w:hAnsi="Segoe UI Emoji" w:cs="Segoe UI Emoji"/>
        </w:rPr>
        <w:t xml:space="preserve">According to </w:t>
      </w:r>
      <w:r w:rsidR="00D36F57">
        <w:rPr>
          <w:rFonts w:ascii="Segoe UI Emoji" w:hAnsi="Segoe UI Emoji" w:cs="Segoe UI Emoji"/>
        </w:rPr>
        <w:t xml:space="preserve">the </w:t>
      </w:r>
      <w:r w:rsidRPr="00D70139">
        <w:rPr>
          <w:rFonts w:ascii="Segoe UI Emoji" w:hAnsi="Segoe UI Emoji" w:cs="Segoe UI Emoji"/>
        </w:rPr>
        <w:t xml:space="preserve">Research Analyst Regulations, there are certain restrictions on collecting client data, such as investment amounts, goals, liabilities, and more, as these fall under the jurisdiction of </w:t>
      </w:r>
      <w:r w:rsidR="00D36F57">
        <w:rPr>
          <w:rFonts w:ascii="Segoe UI Emoji" w:hAnsi="Segoe UI Emoji" w:cs="Segoe UI Emoji"/>
        </w:rPr>
        <w:t xml:space="preserve">the </w:t>
      </w:r>
      <w:r w:rsidRPr="00D70139">
        <w:rPr>
          <w:rFonts w:ascii="Segoe UI Emoji" w:hAnsi="Segoe UI Emoji" w:cs="Segoe UI Emoji"/>
        </w:rPr>
        <w:t xml:space="preserve">Investment Adviser Regulation. </w:t>
      </w:r>
    </w:p>
    <w:p w14:paraId="4C22F9BA" w14:textId="48A97380" w:rsidR="00D70139" w:rsidRPr="00D70139" w:rsidRDefault="00D70139" w:rsidP="00D70139">
      <w:pPr>
        <w:rPr>
          <w:rFonts w:ascii="Segoe UI Emoji" w:hAnsi="Segoe UI Emoji" w:cs="Segoe UI Emoji"/>
        </w:rPr>
      </w:pPr>
      <w:r w:rsidRPr="00D70139">
        <w:rPr>
          <w:rFonts w:ascii="Segoe UI Emoji" w:hAnsi="Segoe UI Emoji" w:cs="Segoe UI Emoji"/>
        </w:rPr>
        <w:t>To protect everyone's best interests, we will maintain a record of each client's KYC for future reference and report any suspicious activities to the Financial Intelligence Unit (FIU).</w:t>
      </w:r>
    </w:p>
    <w:p w14:paraId="6132DCD3" w14:textId="1E1AE4BC" w:rsidR="00F24AA6" w:rsidRPr="00BC3BFF" w:rsidRDefault="00F24AA6" w:rsidP="00DF3C4B">
      <w:pPr>
        <w:rPr>
          <w:rFonts w:cstheme="minorHAnsi"/>
          <w:b/>
          <w:bCs/>
        </w:rPr>
      </w:pPr>
      <w:r w:rsidRPr="00BC3BFF">
        <w:rPr>
          <w:rFonts w:cstheme="minorHAnsi"/>
          <w:b/>
          <w:bCs/>
        </w:rPr>
        <w:t>15. Money Laundering Reporting Officer (MLRO)</w:t>
      </w:r>
    </w:p>
    <w:p w14:paraId="28981A2D" w14:textId="5F957A43" w:rsidR="00F24AA6" w:rsidRDefault="00F24AA6" w:rsidP="00DF3C4B">
      <w:pPr>
        <w:rPr>
          <w:rFonts w:cstheme="minorHAnsi"/>
        </w:rPr>
      </w:pPr>
      <w:r>
        <w:rPr>
          <w:rFonts w:cstheme="minorHAnsi"/>
        </w:rPr>
        <w:t xml:space="preserve">Name: </w:t>
      </w:r>
      <w:r w:rsidR="00E03C48" w:rsidRPr="00C15F89">
        <w:rPr>
          <w:rFonts w:cstheme="minorHAnsi"/>
          <w:b/>
          <w:bCs/>
          <w:highlight w:val="yellow"/>
        </w:rPr>
        <w:t>VIPUL KAUSHIK</w:t>
      </w:r>
    </w:p>
    <w:p w14:paraId="56E0D61F" w14:textId="7746FEFD" w:rsidR="00F24AA6" w:rsidRPr="00BC3BFF" w:rsidRDefault="00F24AA6" w:rsidP="00DF3C4B">
      <w:pPr>
        <w:rPr>
          <w:rFonts w:cstheme="minorHAnsi"/>
          <w:b/>
          <w:bCs/>
        </w:rPr>
      </w:pPr>
      <w:r>
        <w:rPr>
          <w:rFonts w:cstheme="minorHAnsi"/>
        </w:rPr>
        <w:t xml:space="preserve">Phone: </w:t>
      </w:r>
      <w:r w:rsidRPr="00714102">
        <w:rPr>
          <w:rFonts w:cstheme="minorHAnsi"/>
          <w:b/>
          <w:bCs/>
        </w:rPr>
        <w:t xml:space="preserve">+91 </w:t>
      </w:r>
      <w:r w:rsidR="00E03C48" w:rsidRPr="00C15F89">
        <w:rPr>
          <w:rFonts w:cstheme="minorHAnsi"/>
          <w:b/>
          <w:bCs/>
          <w:highlight w:val="yellow"/>
        </w:rPr>
        <w:t>76696 79113</w:t>
      </w:r>
    </w:p>
    <w:p w14:paraId="19764A5E" w14:textId="024FBCE8" w:rsidR="00F24AA6" w:rsidRPr="00854E91" w:rsidRDefault="00F24AA6" w:rsidP="00DF3C4B">
      <w:pPr>
        <w:rPr>
          <w:rFonts w:cstheme="minorHAnsi"/>
        </w:rPr>
      </w:pPr>
      <w:r>
        <w:rPr>
          <w:rFonts w:cstheme="minorHAnsi"/>
        </w:rPr>
        <w:t xml:space="preserve">Mail: </w:t>
      </w:r>
      <w:r w:rsidR="00E03C48" w:rsidRPr="00C15F89">
        <w:rPr>
          <w:rFonts w:cstheme="minorHAnsi"/>
          <w:b/>
          <w:bCs/>
          <w:highlight w:val="yellow"/>
        </w:rPr>
        <w:t>vipultheresearchanalyst@gmail.com</w:t>
      </w:r>
    </w:p>
    <w:p w14:paraId="25ACCFA8" w14:textId="4A629E11" w:rsidR="001622F9" w:rsidRPr="00854E91" w:rsidRDefault="001622F9" w:rsidP="001622F9">
      <w:pPr>
        <w:rPr>
          <w:rFonts w:cstheme="minorHAnsi"/>
        </w:rPr>
      </w:pPr>
      <w:r w:rsidRPr="00854E91">
        <w:rPr>
          <w:rFonts w:cstheme="minorHAnsi"/>
          <w:color w:val="EE0000"/>
        </w:rPr>
        <w:t xml:space="preserve">This AML Policy ensures </w:t>
      </w:r>
      <w:r w:rsidR="00E03C48">
        <w:rPr>
          <w:rFonts w:cstheme="minorHAnsi"/>
          <w:color w:val="EE0000"/>
        </w:rPr>
        <w:t>VIPUL KAUSHIK</w:t>
      </w:r>
      <w:r w:rsidRPr="00854E91">
        <w:rPr>
          <w:rFonts w:cstheme="minorHAnsi"/>
          <w:color w:val="EE0000"/>
        </w:rPr>
        <w:t xml:space="preserve"> not only meets but actively upholds the highest standards required under Indian and international AML/CFT frameworks</w:t>
      </w:r>
      <w:r w:rsidRPr="00854E91">
        <w:rPr>
          <w:rFonts w:cstheme="minorHAnsi"/>
        </w:rPr>
        <w:t>.</w:t>
      </w:r>
    </w:p>
    <w:p w14:paraId="2337215F" w14:textId="22106DFE" w:rsidR="008F0346" w:rsidRPr="00FA43C0" w:rsidRDefault="006E4AF9" w:rsidP="001622F9">
      <w:pPr>
        <w:rPr>
          <w:rFonts w:cstheme="minorHAnsi"/>
          <w:b/>
          <w:bCs/>
        </w:rPr>
      </w:pPr>
      <w:r w:rsidRPr="00FA43C0">
        <w:rPr>
          <w:rFonts w:cstheme="minorHAnsi"/>
          <w:b/>
          <w:bCs/>
        </w:rPr>
        <w:t>****</w:t>
      </w:r>
    </w:p>
    <w:p w14:paraId="71A71680" w14:textId="77777777" w:rsidR="00036913" w:rsidRPr="00854E91" w:rsidRDefault="00036913" w:rsidP="001622F9">
      <w:pPr>
        <w:rPr>
          <w:rFonts w:cstheme="minorHAnsi"/>
        </w:rPr>
      </w:pPr>
    </w:p>
    <w:sectPr w:rsidR="00036913" w:rsidRPr="00854E91" w:rsidSect="00C0298B">
      <w:headerReference w:type="default" r:id="rId7"/>
      <w:footerReference w:type="default" r:id="rId8"/>
      <w:pgSz w:w="11906" w:h="16838"/>
      <w:pgMar w:top="1440" w:right="1440" w:bottom="1440" w:left="1440" w:header="708" w:footer="708" w:gutter="0"/>
      <w:pgBorders w:offsetFrom="page">
        <w:top w:val="thinThickThinMediumGap" w:sz="24" w:space="24" w:color="44546A" w:themeColor="text2"/>
        <w:left w:val="thinThickThinMediumGap" w:sz="24" w:space="24" w:color="44546A" w:themeColor="text2"/>
        <w:bottom w:val="thinThickThinMediumGap" w:sz="24" w:space="24" w:color="44546A" w:themeColor="text2"/>
        <w:right w:val="thinThickThinMediumGap" w:sz="24" w:space="24" w:color="44546A" w:themeColor="tex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F2D5" w14:textId="77777777" w:rsidR="0032198E" w:rsidRDefault="0032198E" w:rsidP="002D7D22">
      <w:pPr>
        <w:spacing w:after="0" w:line="240" w:lineRule="auto"/>
      </w:pPr>
      <w:r>
        <w:separator/>
      </w:r>
    </w:p>
  </w:endnote>
  <w:endnote w:type="continuationSeparator" w:id="0">
    <w:p w14:paraId="27395C1A" w14:textId="77777777" w:rsidR="0032198E" w:rsidRDefault="0032198E" w:rsidP="002D7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A4AD0" w14:textId="3AA57F6F" w:rsidR="002D7D22" w:rsidRPr="00BC7CC4" w:rsidRDefault="009D2559" w:rsidP="00967A0E">
    <w:pPr>
      <w:pStyle w:val="Footer"/>
      <w:jc w:val="center"/>
      <w:rPr>
        <w:rFonts w:ascii="Segoe UI Emoji" w:hAnsi="Segoe UI Emoji" w:cs="Segoe UI Emoji"/>
        <w:b/>
        <w:bCs/>
        <w:color w:val="EE0000"/>
        <w:sz w:val="16"/>
        <w:szCs w:val="16"/>
        <w:lang w:val="en-IN"/>
      </w:rPr>
    </w:pPr>
    <w:r>
      <w:rPr>
        <w:rFonts w:ascii="Segoe UI Emoji" w:hAnsi="Segoe UI Emoji" w:cs="Segoe UI Emoji"/>
        <w:b/>
        <w:bCs/>
        <w:color w:val="EE0000"/>
        <w:sz w:val="16"/>
        <w:szCs w:val="16"/>
        <w:lang w:val="en-IN"/>
      </w:rPr>
      <w:t xml:space="preserve">Address: </w:t>
    </w:r>
    <w:r w:rsidR="00BC7CC4" w:rsidRPr="00BC7CC4">
      <w:rPr>
        <w:rFonts w:ascii="Segoe UI Emoji" w:hAnsi="Segoe UI Emoji" w:cs="Segoe UI Emoji"/>
        <w:b/>
        <w:bCs/>
        <w:color w:val="EE0000"/>
        <w:sz w:val="16"/>
        <w:szCs w:val="16"/>
        <w:lang w:val="en-IN"/>
      </w:rPr>
      <w:t>Flat No 110, Plot No 31, Suruchi Apartment, Sector-10, Dwarka, New Delhi - 110075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EBEA5" w14:textId="77777777" w:rsidR="0032198E" w:rsidRDefault="0032198E" w:rsidP="002D7D22">
      <w:pPr>
        <w:spacing w:after="0" w:line="240" w:lineRule="auto"/>
      </w:pPr>
      <w:r>
        <w:separator/>
      </w:r>
    </w:p>
  </w:footnote>
  <w:footnote w:type="continuationSeparator" w:id="0">
    <w:p w14:paraId="2E4334B0" w14:textId="77777777" w:rsidR="0032198E" w:rsidRDefault="0032198E" w:rsidP="002D7D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6BAC7" w14:textId="77777777" w:rsidR="00BC7CC4" w:rsidRPr="00D73E8D" w:rsidRDefault="00BC7CC4" w:rsidP="009D2559">
    <w:pPr>
      <w:pStyle w:val="Header"/>
      <w:jc w:val="center"/>
      <w:rPr>
        <w:b/>
        <w:bCs/>
        <w:color w:val="0070C0"/>
        <w:lang w:val="en-US"/>
      </w:rPr>
    </w:pPr>
    <w:r w:rsidRPr="004E6D40">
      <w:rPr>
        <w:b/>
        <w:bCs/>
        <w:color w:val="0070C0"/>
        <w:sz w:val="28"/>
        <w:szCs w:val="28"/>
      </w:rPr>
      <w:t xml:space="preserve">VIPUL KAUSHIK: </w:t>
    </w:r>
    <w:r w:rsidRPr="004E6D40">
      <w:rPr>
        <w:b/>
        <w:bCs/>
        <w:color w:val="0070C0"/>
        <w:sz w:val="28"/>
        <w:szCs w:val="28"/>
        <w:lang w:val="en-US"/>
      </w:rPr>
      <w:t>INH000024116 (Research Analyst)</w:t>
    </w:r>
    <w:r w:rsidRPr="00275B3D">
      <w:rPr>
        <w:b/>
        <w:bCs/>
        <w:color w:val="0070C0"/>
        <w:sz w:val="48"/>
        <w:szCs w:val="48"/>
        <w:lang w:val="en-US"/>
      </w:rPr>
      <w:t xml:space="preserve"> </w:t>
    </w:r>
    <w:r w:rsidRPr="00D73E8D">
      <w:rPr>
        <w:b/>
        <w:bCs/>
        <w:color w:val="0070C0"/>
        <w:lang w:val="en-US"/>
      </w:rPr>
      <w:br/>
    </w:r>
    <w:r w:rsidRPr="004E6D40">
      <w:rPr>
        <w:rFonts w:ascii="Segoe UI Emoji" w:eastAsia="Times New Roman" w:hAnsi="Segoe UI Emoji" w:cs="Segoe UI Emoji"/>
        <w:b/>
        <w:bCs/>
        <w:sz w:val="22"/>
        <w:szCs w:val="22"/>
        <w:lang w:eastAsia="en-GB"/>
      </w:rPr>
      <w:t>✅</w:t>
    </w:r>
    <w:r w:rsidRPr="004E6D40">
      <w:rPr>
        <w:b/>
        <w:bCs/>
        <w:color w:val="0070C0"/>
        <w:sz w:val="22"/>
        <w:szCs w:val="22"/>
        <w:lang w:val="en-US"/>
      </w:rPr>
      <w:t xml:space="preserve">BSE Enlistment No.: 6861 </w:t>
    </w:r>
    <w:r w:rsidRPr="004E6D40">
      <w:rPr>
        <w:rFonts w:ascii="Segoe UI Emoji" w:eastAsia="Times New Roman" w:hAnsi="Segoe UI Emoji" w:cs="Segoe UI Emoji"/>
        <w:b/>
        <w:bCs/>
        <w:sz w:val="22"/>
        <w:szCs w:val="22"/>
        <w:lang w:eastAsia="en-GB"/>
      </w:rPr>
      <w:t>✅</w:t>
    </w:r>
    <w:r w:rsidRPr="004E6D40">
      <w:rPr>
        <w:b/>
        <w:bCs/>
        <w:color w:val="0070C0"/>
        <w:sz w:val="22"/>
        <w:szCs w:val="22"/>
        <w:lang w:val="en-US"/>
      </w:rPr>
      <w:t>Trade Name: www.vipultheresearchanalyst.com</w:t>
    </w:r>
  </w:p>
  <w:p w14:paraId="659E64FF" w14:textId="5381905D" w:rsidR="002D7D22" w:rsidRPr="00BC7CC4" w:rsidRDefault="00000000" w:rsidP="00AF27ED">
    <w:pPr>
      <w:pStyle w:val="Header"/>
      <w:rPr>
        <w:b/>
        <w:bCs/>
        <w:lang w:val="en-US"/>
      </w:rPr>
    </w:pPr>
    <w:r>
      <w:rPr>
        <w:b/>
        <w:bCs/>
        <w:lang w:val="en-US"/>
      </w:rP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632D"/>
    <w:multiLevelType w:val="multilevel"/>
    <w:tmpl w:val="E53AA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B46A2"/>
    <w:multiLevelType w:val="multilevel"/>
    <w:tmpl w:val="D0560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0B1C8C"/>
    <w:multiLevelType w:val="hybridMultilevel"/>
    <w:tmpl w:val="FCA283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A1420C"/>
    <w:multiLevelType w:val="multilevel"/>
    <w:tmpl w:val="FE30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C0629"/>
    <w:multiLevelType w:val="multilevel"/>
    <w:tmpl w:val="F6D61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E4205E"/>
    <w:multiLevelType w:val="multilevel"/>
    <w:tmpl w:val="F8207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38628A"/>
    <w:multiLevelType w:val="multilevel"/>
    <w:tmpl w:val="26F6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4F3E21"/>
    <w:multiLevelType w:val="multilevel"/>
    <w:tmpl w:val="6F64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A32FC6"/>
    <w:multiLevelType w:val="multilevel"/>
    <w:tmpl w:val="03EA6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ED370F"/>
    <w:multiLevelType w:val="multilevel"/>
    <w:tmpl w:val="01C8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C71FB"/>
    <w:multiLevelType w:val="multilevel"/>
    <w:tmpl w:val="151AD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924C9E"/>
    <w:multiLevelType w:val="multilevel"/>
    <w:tmpl w:val="00180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635057"/>
    <w:multiLevelType w:val="multilevel"/>
    <w:tmpl w:val="AB845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894DC2"/>
    <w:multiLevelType w:val="multilevel"/>
    <w:tmpl w:val="AA04F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DC27AC"/>
    <w:multiLevelType w:val="hybridMultilevel"/>
    <w:tmpl w:val="23084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40B4ECE"/>
    <w:multiLevelType w:val="multilevel"/>
    <w:tmpl w:val="D8164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A75195"/>
    <w:multiLevelType w:val="multilevel"/>
    <w:tmpl w:val="0204C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262744"/>
    <w:multiLevelType w:val="hybridMultilevel"/>
    <w:tmpl w:val="417ED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E9053A9"/>
    <w:multiLevelType w:val="multilevel"/>
    <w:tmpl w:val="9E86E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DA3E33"/>
    <w:multiLevelType w:val="multilevel"/>
    <w:tmpl w:val="F87AE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7341583">
    <w:abstractNumId w:val="5"/>
  </w:num>
  <w:num w:numId="2" w16cid:durableId="541678488">
    <w:abstractNumId w:val="14"/>
  </w:num>
  <w:num w:numId="3" w16cid:durableId="1886869160">
    <w:abstractNumId w:val="17"/>
  </w:num>
  <w:num w:numId="4" w16cid:durableId="339285543">
    <w:abstractNumId w:val="6"/>
  </w:num>
  <w:num w:numId="5" w16cid:durableId="1054548949">
    <w:abstractNumId w:val="9"/>
  </w:num>
  <w:num w:numId="6" w16cid:durableId="1194658442">
    <w:abstractNumId w:val="2"/>
  </w:num>
  <w:num w:numId="7" w16cid:durableId="1009142994">
    <w:abstractNumId w:val="10"/>
  </w:num>
  <w:num w:numId="8" w16cid:durableId="756828748">
    <w:abstractNumId w:val="3"/>
  </w:num>
  <w:num w:numId="9" w16cid:durableId="106972930">
    <w:abstractNumId w:val="15"/>
  </w:num>
  <w:num w:numId="10" w16cid:durableId="869342885">
    <w:abstractNumId w:val="19"/>
  </w:num>
  <w:num w:numId="11" w16cid:durableId="1555000520">
    <w:abstractNumId w:val="12"/>
  </w:num>
  <w:num w:numId="12" w16cid:durableId="1119106443">
    <w:abstractNumId w:val="0"/>
  </w:num>
  <w:num w:numId="13" w16cid:durableId="786587686">
    <w:abstractNumId w:val="7"/>
  </w:num>
  <w:num w:numId="14" w16cid:durableId="24135184">
    <w:abstractNumId w:val="13"/>
  </w:num>
  <w:num w:numId="15" w16cid:durableId="568350284">
    <w:abstractNumId w:val="1"/>
  </w:num>
  <w:num w:numId="16" w16cid:durableId="1195075115">
    <w:abstractNumId w:val="16"/>
  </w:num>
  <w:num w:numId="17" w16cid:durableId="1842116203">
    <w:abstractNumId w:val="11"/>
  </w:num>
  <w:num w:numId="18" w16cid:durableId="691036247">
    <w:abstractNumId w:val="8"/>
  </w:num>
  <w:num w:numId="19" w16cid:durableId="825586571">
    <w:abstractNumId w:val="4"/>
  </w:num>
  <w:num w:numId="20" w16cid:durableId="20174176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083"/>
    <w:rsid w:val="000125D7"/>
    <w:rsid w:val="0001332F"/>
    <w:rsid w:val="00020AE8"/>
    <w:rsid w:val="000323B6"/>
    <w:rsid w:val="00032F45"/>
    <w:rsid w:val="0003530C"/>
    <w:rsid w:val="00036913"/>
    <w:rsid w:val="000429D0"/>
    <w:rsid w:val="00046407"/>
    <w:rsid w:val="0004783E"/>
    <w:rsid w:val="00052370"/>
    <w:rsid w:val="00054C03"/>
    <w:rsid w:val="00060D65"/>
    <w:rsid w:val="000829E4"/>
    <w:rsid w:val="000877F0"/>
    <w:rsid w:val="00092596"/>
    <w:rsid w:val="000939BE"/>
    <w:rsid w:val="000A4C90"/>
    <w:rsid w:val="000A4CFA"/>
    <w:rsid w:val="000A547A"/>
    <w:rsid w:val="000A588D"/>
    <w:rsid w:val="000B1672"/>
    <w:rsid w:val="000B1C9F"/>
    <w:rsid w:val="000C0477"/>
    <w:rsid w:val="000C3920"/>
    <w:rsid w:val="000D2623"/>
    <w:rsid w:val="000D4B4A"/>
    <w:rsid w:val="000D64D1"/>
    <w:rsid w:val="000E0A82"/>
    <w:rsid w:val="000E0B12"/>
    <w:rsid w:val="000E5AF0"/>
    <w:rsid w:val="000E663E"/>
    <w:rsid w:val="000F368B"/>
    <w:rsid w:val="00103DE0"/>
    <w:rsid w:val="001053F7"/>
    <w:rsid w:val="001063F3"/>
    <w:rsid w:val="00112785"/>
    <w:rsid w:val="00112896"/>
    <w:rsid w:val="00113256"/>
    <w:rsid w:val="00115FA8"/>
    <w:rsid w:val="00116AB5"/>
    <w:rsid w:val="00120EF0"/>
    <w:rsid w:val="0012580E"/>
    <w:rsid w:val="00126752"/>
    <w:rsid w:val="00140851"/>
    <w:rsid w:val="00140B1B"/>
    <w:rsid w:val="00145DD7"/>
    <w:rsid w:val="00146DB4"/>
    <w:rsid w:val="001622F9"/>
    <w:rsid w:val="00166866"/>
    <w:rsid w:val="00171BA3"/>
    <w:rsid w:val="00196657"/>
    <w:rsid w:val="001A5893"/>
    <w:rsid w:val="001A5D3D"/>
    <w:rsid w:val="001B0431"/>
    <w:rsid w:val="001B4CCE"/>
    <w:rsid w:val="001C1D65"/>
    <w:rsid w:val="001C444E"/>
    <w:rsid w:val="001C4D67"/>
    <w:rsid w:val="001D1A31"/>
    <w:rsid w:val="00204DA6"/>
    <w:rsid w:val="00211795"/>
    <w:rsid w:val="00214A44"/>
    <w:rsid w:val="0021612E"/>
    <w:rsid w:val="00217728"/>
    <w:rsid w:val="002261B4"/>
    <w:rsid w:val="00231E2F"/>
    <w:rsid w:val="00231F68"/>
    <w:rsid w:val="00234EF6"/>
    <w:rsid w:val="00241CB0"/>
    <w:rsid w:val="0025039B"/>
    <w:rsid w:val="002567CA"/>
    <w:rsid w:val="00267312"/>
    <w:rsid w:val="00275AAD"/>
    <w:rsid w:val="00287CD5"/>
    <w:rsid w:val="002905F0"/>
    <w:rsid w:val="002934CD"/>
    <w:rsid w:val="002A0A09"/>
    <w:rsid w:val="002A0AA5"/>
    <w:rsid w:val="002A10FE"/>
    <w:rsid w:val="002A1A75"/>
    <w:rsid w:val="002A504D"/>
    <w:rsid w:val="002A664C"/>
    <w:rsid w:val="002C0CB0"/>
    <w:rsid w:val="002C26D6"/>
    <w:rsid w:val="002C2B63"/>
    <w:rsid w:val="002C4392"/>
    <w:rsid w:val="002D7D22"/>
    <w:rsid w:val="002E2F6B"/>
    <w:rsid w:val="002F0397"/>
    <w:rsid w:val="00302165"/>
    <w:rsid w:val="003027CC"/>
    <w:rsid w:val="00305432"/>
    <w:rsid w:val="0031021D"/>
    <w:rsid w:val="003104ED"/>
    <w:rsid w:val="00311ABB"/>
    <w:rsid w:val="003156D8"/>
    <w:rsid w:val="0032198E"/>
    <w:rsid w:val="00327856"/>
    <w:rsid w:val="0037179B"/>
    <w:rsid w:val="00373F28"/>
    <w:rsid w:val="003747FC"/>
    <w:rsid w:val="00392240"/>
    <w:rsid w:val="003A28BF"/>
    <w:rsid w:val="003A3B39"/>
    <w:rsid w:val="003B060A"/>
    <w:rsid w:val="003B3AA7"/>
    <w:rsid w:val="003C207F"/>
    <w:rsid w:val="003D14CF"/>
    <w:rsid w:val="003D3CB6"/>
    <w:rsid w:val="003E1B45"/>
    <w:rsid w:val="003F216B"/>
    <w:rsid w:val="0040172D"/>
    <w:rsid w:val="004047D9"/>
    <w:rsid w:val="00407EFC"/>
    <w:rsid w:val="00420E32"/>
    <w:rsid w:val="00423212"/>
    <w:rsid w:val="004279B8"/>
    <w:rsid w:val="0043000A"/>
    <w:rsid w:val="00437FD2"/>
    <w:rsid w:val="0044266F"/>
    <w:rsid w:val="00450FE9"/>
    <w:rsid w:val="00453141"/>
    <w:rsid w:val="00454F29"/>
    <w:rsid w:val="00463E96"/>
    <w:rsid w:val="00464CBC"/>
    <w:rsid w:val="00484E4E"/>
    <w:rsid w:val="004868D1"/>
    <w:rsid w:val="004946A4"/>
    <w:rsid w:val="004963EA"/>
    <w:rsid w:val="004A3B5A"/>
    <w:rsid w:val="004A40A9"/>
    <w:rsid w:val="004B1E8E"/>
    <w:rsid w:val="004B78F2"/>
    <w:rsid w:val="004C119B"/>
    <w:rsid w:val="004D26F5"/>
    <w:rsid w:val="004E4338"/>
    <w:rsid w:val="004E59E0"/>
    <w:rsid w:val="004F66F4"/>
    <w:rsid w:val="00516D99"/>
    <w:rsid w:val="0052794E"/>
    <w:rsid w:val="00527E69"/>
    <w:rsid w:val="00543458"/>
    <w:rsid w:val="00561C1F"/>
    <w:rsid w:val="00564774"/>
    <w:rsid w:val="0057692F"/>
    <w:rsid w:val="00586022"/>
    <w:rsid w:val="00586515"/>
    <w:rsid w:val="00592336"/>
    <w:rsid w:val="00593363"/>
    <w:rsid w:val="00596D1F"/>
    <w:rsid w:val="005A0E1B"/>
    <w:rsid w:val="005B2061"/>
    <w:rsid w:val="005C14D7"/>
    <w:rsid w:val="005C3D68"/>
    <w:rsid w:val="005D4710"/>
    <w:rsid w:val="005E5F8F"/>
    <w:rsid w:val="005F0083"/>
    <w:rsid w:val="005F587A"/>
    <w:rsid w:val="005F7D50"/>
    <w:rsid w:val="006071BE"/>
    <w:rsid w:val="0061462A"/>
    <w:rsid w:val="00621F4F"/>
    <w:rsid w:val="006254C2"/>
    <w:rsid w:val="0063056B"/>
    <w:rsid w:val="00650B70"/>
    <w:rsid w:val="00655B86"/>
    <w:rsid w:val="0067671E"/>
    <w:rsid w:val="00676A82"/>
    <w:rsid w:val="006834AA"/>
    <w:rsid w:val="00684B10"/>
    <w:rsid w:val="00687FCD"/>
    <w:rsid w:val="006956B7"/>
    <w:rsid w:val="006B20E4"/>
    <w:rsid w:val="006B2FE4"/>
    <w:rsid w:val="006C13BF"/>
    <w:rsid w:val="006D2606"/>
    <w:rsid w:val="006D3B1E"/>
    <w:rsid w:val="006E4AF9"/>
    <w:rsid w:val="006F0EC9"/>
    <w:rsid w:val="006F4AD5"/>
    <w:rsid w:val="007018BB"/>
    <w:rsid w:val="00706AF6"/>
    <w:rsid w:val="00707CD6"/>
    <w:rsid w:val="00714102"/>
    <w:rsid w:val="0071447F"/>
    <w:rsid w:val="00733D41"/>
    <w:rsid w:val="007357AE"/>
    <w:rsid w:val="00736DA8"/>
    <w:rsid w:val="00746B46"/>
    <w:rsid w:val="007757CF"/>
    <w:rsid w:val="00780F5F"/>
    <w:rsid w:val="007814D3"/>
    <w:rsid w:val="007A0A59"/>
    <w:rsid w:val="007A4887"/>
    <w:rsid w:val="007B676A"/>
    <w:rsid w:val="007B73C6"/>
    <w:rsid w:val="007B7D83"/>
    <w:rsid w:val="007B7F78"/>
    <w:rsid w:val="007C4D16"/>
    <w:rsid w:val="007D5862"/>
    <w:rsid w:val="007F1C9A"/>
    <w:rsid w:val="007F6699"/>
    <w:rsid w:val="00804832"/>
    <w:rsid w:val="008051AD"/>
    <w:rsid w:val="00807FE3"/>
    <w:rsid w:val="00816BE2"/>
    <w:rsid w:val="008179FC"/>
    <w:rsid w:val="0082164D"/>
    <w:rsid w:val="0082427C"/>
    <w:rsid w:val="00826DB9"/>
    <w:rsid w:val="008360ED"/>
    <w:rsid w:val="00853CEE"/>
    <w:rsid w:val="00854DA6"/>
    <w:rsid w:val="00854E91"/>
    <w:rsid w:val="00863499"/>
    <w:rsid w:val="00870113"/>
    <w:rsid w:val="00881506"/>
    <w:rsid w:val="008873D0"/>
    <w:rsid w:val="008943B7"/>
    <w:rsid w:val="008A0EA5"/>
    <w:rsid w:val="008A3030"/>
    <w:rsid w:val="008B007E"/>
    <w:rsid w:val="008B00D3"/>
    <w:rsid w:val="008B46C2"/>
    <w:rsid w:val="008C16E3"/>
    <w:rsid w:val="008C289F"/>
    <w:rsid w:val="008D4FBE"/>
    <w:rsid w:val="008D560C"/>
    <w:rsid w:val="008E18D4"/>
    <w:rsid w:val="008E6813"/>
    <w:rsid w:val="008F0346"/>
    <w:rsid w:val="008F2528"/>
    <w:rsid w:val="008F2C43"/>
    <w:rsid w:val="00906E0B"/>
    <w:rsid w:val="00914A10"/>
    <w:rsid w:val="00916AB3"/>
    <w:rsid w:val="00923693"/>
    <w:rsid w:val="00930061"/>
    <w:rsid w:val="00933D58"/>
    <w:rsid w:val="009447DA"/>
    <w:rsid w:val="009520EF"/>
    <w:rsid w:val="00960E04"/>
    <w:rsid w:val="0096149E"/>
    <w:rsid w:val="0096640E"/>
    <w:rsid w:val="00967A0E"/>
    <w:rsid w:val="00967D74"/>
    <w:rsid w:val="00973CF8"/>
    <w:rsid w:val="00977E13"/>
    <w:rsid w:val="0098213F"/>
    <w:rsid w:val="009836FC"/>
    <w:rsid w:val="009853E3"/>
    <w:rsid w:val="00992760"/>
    <w:rsid w:val="009A7D6D"/>
    <w:rsid w:val="009C25F5"/>
    <w:rsid w:val="009C4098"/>
    <w:rsid w:val="009C6F30"/>
    <w:rsid w:val="009D1449"/>
    <w:rsid w:val="009D2559"/>
    <w:rsid w:val="009E081D"/>
    <w:rsid w:val="009E186D"/>
    <w:rsid w:val="009F5092"/>
    <w:rsid w:val="00A008BB"/>
    <w:rsid w:val="00A064F3"/>
    <w:rsid w:val="00A07AF9"/>
    <w:rsid w:val="00A26AE7"/>
    <w:rsid w:val="00A32506"/>
    <w:rsid w:val="00A508C2"/>
    <w:rsid w:val="00A518DF"/>
    <w:rsid w:val="00A64A1D"/>
    <w:rsid w:val="00A66535"/>
    <w:rsid w:val="00A74584"/>
    <w:rsid w:val="00A85DF1"/>
    <w:rsid w:val="00A93415"/>
    <w:rsid w:val="00AA0A63"/>
    <w:rsid w:val="00AB3540"/>
    <w:rsid w:val="00AB60D8"/>
    <w:rsid w:val="00AB76CE"/>
    <w:rsid w:val="00AD0D31"/>
    <w:rsid w:val="00AD78EC"/>
    <w:rsid w:val="00AE5B31"/>
    <w:rsid w:val="00AE7587"/>
    <w:rsid w:val="00AF27ED"/>
    <w:rsid w:val="00AF2AD3"/>
    <w:rsid w:val="00AF5111"/>
    <w:rsid w:val="00B23492"/>
    <w:rsid w:val="00B33419"/>
    <w:rsid w:val="00B37390"/>
    <w:rsid w:val="00B444E0"/>
    <w:rsid w:val="00B547DB"/>
    <w:rsid w:val="00B6581D"/>
    <w:rsid w:val="00B710FC"/>
    <w:rsid w:val="00B74206"/>
    <w:rsid w:val="00B838A5"/>
    <w:rsid w:val="00B83DB1"/>
    <w:rsid w:val="00B90060"/>
    <w:rsid w:val="00BA45AE"/>
    <w:rsid w:val="00BC3BFF"/>
    <w:rsid w:val="00BC48CD"/>
    <w:rsid w:val="00BC7CC4"/>
    <w:rsid w:val="00BD5FF5"/>
    <w:rsid w:val="00C01C95"/>
    <w:rsid w:val="00C0298B"/>
    <w:rsid w:val="00C066BF"/>
    <w:rsid w:val="00C07D8D"/>
    <w:rsid w:val="00C15F89"/>
    <w:rsid w:val="00C172BB"/>
    <w:rsid w:val="00C302A9"/>
    <w:rsid w:val="00C330D1"/>
    <w:rsid w:val="00C376C1"/>
    <w:rsid w:val="00C41EBE"/>
    <w:rsid w:val="00C45DA6"/>
    <w:rsid w:val="00C45EC0"/>
    <w:rsid w:val="00C513F9"/>
    <w:rsid w:val="00C5589B"/>
    <w:rsid w:val="00C629E5"/>
    <w:rsid w:val="00C72448"/>
    <w:rsid w:val="00C72858"/>
    <w:rsid w:val="00C774EE"/>
    <w:rsid w:val="00C81DEF"/>
    <w:rsid w:val="00C918A3"/>
    <w:rsid w:val="00C94ACB"/>
    <w:rsid w:val="00CA6658"/>
    <w:rsid w:val="00CB4B07"/>
    <w:rsid w:val="00CC1B42"/>
    <w:rsid w:val="00CC5C0D"/>
    <w:rsid w:val="00CD0A8E"/>
    <w:rsid w:val="00CD2366"/>
    <w:rsid w:val="00CD6E4F"/>
    <w:rsid w:val="00CE4788"/>
    <w:rsid w:val="00CE75A1"/>
    <w:rsid w:val="00CF08F2"/>
    <w:rsid w:val="00CF4075"/>
    <w:rsid w:val="00CF49A1"/>
    <w:rsid w:val="00CF50D5"/>
    <w:rsid w:val="00CF772A"/>
    <w:rsid w:val="00D00D5C"/>
    <w:rsid w:val="00D012F7"/>
    <w:rsid w:val="00D04391"/>
    <w:rsid w:val="00D14A14"/>
    <w:rsid w:val="00D2435A"/>
    <w:rsid w:val="00D31656"/>
    <w:rsid w:val="00D36F57"/>
    <w:rsid w:val="00D41B98"/>
    <w:rsid w:val="00D41EAD"/>
    <w:rsid w:val="00D432D7"/>
    <w:rsid w:val="00D4454F"/>
    <w:rsid w:val="00D60D44"/>
    <w:rsid w:val="00D60D78"/>
    <w:rsid w:val="00D70139"/>
    <w:rsid w:val="00D74AFB"/>
    <w:rsid w:val="00D75964"/>
    <w:rsid w:val="00D9142E"/>
    <w:rsid w:val="00D92EA5"/>
    <w:rsid w:val="00D9703B"/>
    <w:rsid w:val="00D9732C"/>
    <w:rsid w:val="00DA7588"/>
    <w:rsid w:val="00DA7737"/>
    <w:rsid w:val="00DB1276"/>
    <w:rsid w:val="00DE1ED7"/>
    <w:rsid w:val="00DE7D62"/>
    <w:rsid w:val="00DF3C4B"/>
    <w:rsid w:val="00DF4013"/>
    <w:rsid w:val="00DF4F69"/>
    <w:rsid w:val="00E0049E"/>
    <w:rsid w:val="00E03C48"/>
    <w:rsid w:val="00E12C44"/>
    <w:rsid w:val="00E2403D"/>
    <w:rsid w:val="00E27098"/>
    <w:rsid w:val="00E27781"/>
    <w:rsid w:val="00E30CAF"/>
    <w:rsid w:val="00E35B73"/>
    <w:rsid w:val="00E41B98"/>
    <w:rsid w:val="00E43790"/>
    <w:rsid w:val="00E50040"/>
    <w:rsid w:val="00E54F65"/>
    <w:rsid w:val="00E66BBC"/>
    <w:rsid w:val="00E7107E"/>
    <w:rsid w:val="00E71330"/>
    <w:rsid w:val="00E72C35"/>
    <w:rsid w:val="00E83AE8"/>
    <w:rsid w:val="00E856C1"/>
    <w:rsid w:val="00E94107"/>
    <w:rsid w:val="00EA0625"/>
    <w:rsid w:val="00EC03A8"/>
    <w:rsid w:val="00ED5493"/>
    <w:rsid w:val="00ED5E1A"/>
    <w:rsid w:val="00ED7521"/>
    <w:rsid w:val="00EE2E82"/>
    <w:rsid w:val="00EE3CAF"/>
    <w:rsid w:val="00EE47BB"/>
    <w:rsid w:val="00EE604E"/>
    <w:rsid w:val="00EF25F8"/>
    <w:rsid w:val="00EF26C1"/>
    <w:rsid w:val="00EF568E"/>
    <w:rsid w:val="00F02E21"/>
    <w:rsid w:val="00F110B2"/>
    <w:rsid w:val="00F14CFC"/>
    <w:rsid w:val="00F24AA6"/>
    <w:rsid w:val="00F268EC"/>
    <w:rsid w:val="00F324E5"/>
    <w:rsid w:val="00F40180"/>
    <w:rsid w:val="00F56072"/>
    <w:rsid w:val="00F715C4"/>
    <w:rsid w:val="00F71E83"/>
    <w:rsid w:val="00F73ED0"/>
    <w:rsid w:val="00F94066"/>
    <w:rsid w:val="00F94A78"/>
    <w:rsid w:val="00F964AD"/>
    <w:rsid w:val="00FA43C0"/>
    <w:rsid w:val="00FA62A7"/>
    <w:rsid w:val="00FB35DC"/>
    <w:rsid w:val="00FB449E"/>
    <w:rsid w:val="00FC1BF4"/>
    <w:rsid w:val="00FD0982"/>
    <w:rsid w:val="00FD60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06A881"/>
  <w15:chartTrackingRefBased/>
  <w15:docId w15:val="{0925E1E3-EC4A-445A-A752-F2CB26BC4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00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00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00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00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00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00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00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00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00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0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00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00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00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00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0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083"/>
    <w:rPr>
      <w:rFonts w:eastAsiaTheme="majorEastAsia" w:cstheme="majorBidi"/>
      <w:color w:val="272727" w:themeColor="text1" w:themeTint="D8"/>
    </w:rPr>
  </w:style>
  <w:style w:type="paragraph" w:styleId="Title">
    <w:name w:val="Title"/>
    <w:basedOn w:val="Normal"/>
    <w:next w:val="Normal"/>
    <w:link w:val="TitleChar"/>
    <w:uiPriority w:val="10"/>
    <w:qFormat/>
    <w:rsid w:val="005F00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0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083"/>
    <w:pPr>
      <w:spacing w:before="160"/>
      <w:jc w:val="center"/>
    </w:pPr>
    <w:rPr>
      <w:i/>
      <w:iCs/>
      <w:color w:val="404040" w:themeColor="text1" w:themeTint="BF"/>
    </w:rPr>
  </w:style>
  <w:style w:type="character" w:customStyle="1" w:styleId="QuoteChar">
    <w:name w:val="Quote Char"/>
    <w:basedOn w:val="DefaultParagraphFont"/>
    <w:link w:val="Quote"/>
    <w:uiPriority w:val="29"/>
    <w:rsid w:val="005F0083"/>
    <w:rPr>
      <w:i/>
      <w:iCs/>
      <w:color w:val="404040" w:themeColor="text1" w:themeTint="BF"/>
    </w:rPr>
  </w:style>
  <w:style w:type="paragraph" w:styleId="ListParagraph">
    <w:name w:val="List Paragraph"/>
    <w:basedOn w:val="Normal"/>
    <w:uiPriority w:val="34"/>
    <w:qFormat/>
    <w:rsid w:val="005F0083"/>
    <w:pPr>
      <w:ind w:left="720"/>
      <w:contextualSpacing/>
    </w:pPr>
  </w:style>
  <w:style w:type="character" w:styleId="IntenseEmphasis">
    <w:name w:val="Intense Emphasis"/>
    <w:basedOn w:val="DefaultParagraphFont"/>
    <w:uiPriority w:val="21"/>
    <w:qFormat/>
    <w:rsid w:val="005F0083"/>
    <w:rPr>
      <w:i/>
      <w:iCs/>
      <w:color w:val="2F5496" w:themeColor="accent1" w:themeShade="BF"/>
    </w:rPr>
  </w:style>
  <w:style w:type="paragraph" w:styleId="IntenseQuote">
    <w:name w:val="Intense Quote"/>
    <w:basedOn w:val="Normal"/>
    <w:next w:val="Normal"/>
    <w:link w:val="IntenseQuoteChar"/>
    <w:uiPriority w:val="30"/>
    <w:qFormat/>
    <w:rsid w:val="005F00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0083"/>
    <w:rPr>
      <w:i/>
      <w:iCs/>
      <w:color w:val="2F5496" w:themeColor="accent1" w:themeShade="BF"/>
    </w:rPr>
  </w:style>
  <w:style w:type="character" w:styleId="IntenseReference">
    <w:name w:val="Intense Reference"/>
    <w:basedOn w:val="DefaultParagraphFont"/>
    <w:uiPriority w:val="32"/>
    <w:qFormat/>
    <w:rsid w:val="005F0083"/>
    <w:rPr>
      <w:b/>
      <w:bCs/>
      <w:smallCaps/>
      <w:color w:val="2F5496" w:themeColor="accent1" w:themeShade="BF"/>
      <w:spacing w:val="5"/>
    </w:rPr>
  </w:style>
  <w:style w:type="character" w:styleId="Hyperlink">
    <w:name w:val="Hyperlink"/>
    <w:basedOn w:val="DefaultParagraphFont"/>
    <w:uiPriority w:val="99"/>
    <w:unhideWhenUsed/>
    <w:rsid w:val="005F0083"/>
    <w:rPr>
      <w:color w:val="0563C1" w:themeColor="hyperlink"/>
      <w:u w:val="single"/>
    </w:rPr>
  </w:style>
  <w:style w:type="character" w:styleId="UnresolvedMention">
    <w:name w:val="Unresolved Mention"/>
    <w:basedOn w:val="DefaultParagraphFont"/>
    <w:uiPriority w:val="99"/>
    <w:semiHidden/>
    <w:unhideWhenUsed/>
    <w:rsid w:val="005F0083"/>
    <w:rPr>
      <w:color w:val="605E5C"/>
      <w:shd w:val="clear" w:color="auto" w:fill="E1DFDD"/>
    </w:rPr>
  </w:style>
  <w:style w:type="character" w:customStyle="1" w:styleId="oypena">
    <w:name w:val="oypena"/>
    <w:basedOn w:val="DefaultParagraphFont"/>
    <w:rsid w:val="00392240"/>
  </w:style>
  <w:style w:type="paragraph" w:styleId="Header">
    <w:name w:val="header"/>
    <w:basedOn w:val="Normal"/>
    <w:link w:val="HeaderChar"/>
    <w:uiPriority w:val="99"/>
    <w:unhideWhenUsed/>
    <w:rsid w:val="002D7D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7D22"/>
  </w:style>
  <w:style w:type="paragraph" w:styleId="Footer">
    <w:name w:val="footer"/>
    <w:basedOn w:val="Normal"/>
    <w:link w:val="FooterChar"/>
    <w:uiPriority w:val="99"/>
    <w:unhideWhenUsed/>
    <w:rsid w:val="002D7D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7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81439">
      <w:bodyDiv w:val="1"/>
      <w:marLeft w:val="0"/>
      <w:marRight w:val="0"/>
      <w:marTop w:val="0"/>
      <w:marBottom w:val="0"/>
      <w:divBdr>
        <w:top w:val="none" w:sz="0" w:space="0" w:color="auto"/>
        <w:left w:val="none" w:sz="0" w:space="0" w:color="auto"/>
        <w:bottom w:val="none" w:sz="0" w:space="0" w:color="auto"/>
        <w:right w:val="none" w:sz="0" w:space="0" w:color="auto"/>
      </w:divBdr>
      <w:divsChild>
        <w:div w:id="2104179499">
          <w:marLeft w:val="0"/>
          <w:marRight w:val="0"/>
          <w:marTop w:val="0"/>
          <w:marBottom w:val="0"/>
          <w:divBdr>
            <w:top w:val="none" w:sz="0" w:space="0" w:color="auto"/>
            <w:left w:val="none" w:sz="0" w:space="0" w:color="auto"/>
            <w:bottom w:val="none" w:sz="0" w:space="0" w:color="auto"/>
            <w:right w:val="none" w:sz="0" w:space="0" w:color="auto"/>
          </w:divBdr>
        </w:div>
      </w:divsChild>
    </w:div>
    <w:div w:id="136336880">
      <w:bodyDiv w:val="1"/>
      <w:marLeft w:val="0"/>
      <w:marRight w:val="0"/>
      <w:marTop w:val="0"/>
      <w:marBottom w:val="0"/>
      <w:divBdr>
        <w:top w:val="none" w:sz="0" w:space="0" w:color="auto"/>
        <w:left w:val="none" w:sz="0" w:space="0" w:color="auto"/>
        <w:bottom w:val="none" w:sz="0" w:space="0" w:color="auto"/>
        <w:right w:val="none" w:sz="0" w:space="0" w:color="auto"/>
      </w:divBdr>
    </w:div>
    <w:div w:id="198783288">
      <w:bodyDiv w:val="1"/>
      <w:marLeft w:val="0"/>
      <w:marRight w:val="0"/>
      <w:marTop w:val="0"/>
      <w:marBottom w:val="0"/>
      <w:divBdr>
        <w:top w:val="none" w:sz="0" w:space="0" w:color="auto"/>
        <w:left w:val="none" w:sz="0" w:space="0" w:color="auto"/>
        <w:bottom w:val="none" w:sz="0" w:space="0" w:color="auto"/>
        <w:right w:val="none" w:sz="0" w:space="0" w:color="auto"/>
      </w:divBdr>
    </w:div>
    <w:div w:id="209611030">
      <w:bodyDiv w:val="1"/>
      <w:marLeft w:val="0"/>
      <w:marRight w:val="0"/>
      <w:marTop w:val="0"/>
      <w:marBottom w:val="0"/>
      <w:divBdr>
        <w:top w:val="none" w:sz="0" w:space="0" w:color="auto"/>
        <w:left w:val="none" w:sz="0" w:space="0" w:color="auto"/>
        <w:bottom w:val="none" w:sz="0" w:space="0" w:color="auto"/>
        <w:right w:val="none" w:sz="0" w:space="0" w:color="auto"/>
      </w:divBdr>
    </w:div>
    <w:div w:id="274867471">
      <w:bodyDiv w:val="1"/>
      <w:marLeft w:val="0"/>
      <w:marRight w:val="0"/>
      <w:marTop w:val="0"/>
      <w:marBottom w:val="0"/>
      <w:divBdr>
        <w:top w:val="none" w:sz="0" w:space="0" w:color="auto"/>
        <w:left w:val="none" w:sz="0" w:space="0" w:color="auto"/>
        <w:bottom w:val="none" w:sz="0" w:space="0" w:color="auto"/>
        <w:right w:val="none" w:sz="0" w:space="0" w:color="auto"/>
      </w:divBdr>
    </w:div>
    <w:div w:id="433356047">
      <w:bodyDiv w:val="1"/>
      <w:marLeft w:val="0"/>
      <w:marRight w:val="0"/>
      <w:marTop w:val="0"/>
      <w:marBottom w:val="0"/>
      <w:divBdr>
        <w:top w:val="none" w:sz="0" w:space="0" w:color="auto"/>
        <w:left w:val="none" w:sz="0" w:space="0" w:color="auto"/>
        <w:bottom w:val="none" w:sz="0" w:space="0" w:color="auto"/>
        <w:right w:val="none" w:sz="0" w:space="0" w:color="auto"/>
      </w:divBdr>
    </w:div>
    <w:div w:id="470901729">
      <w:bodyDiv w:val="1"/>
      <w:marLeft w:val="0"/>
      <w:marRight w:val="0"/>
      <w:marTop w:val="0"/>
      <w:marBottom w:val="0"/>
      <w:divBdr>
        <w:top w:val="none" w:sz="0" w:space="0" w:color="auto"/>
        <w:left w:val="none" w:sz="0" w:space="0" w:color="auto"/>
        <w:bottom w:val="none" w:sz="0" w:space="0" w:color="auto"/>
        <w:right w:val="none" w:sz="0" w:space="0" w:color="auto"/>
      </w:divBdr>
    </w:div>
    <w:div w:id="503517191">
      <w:bodyDiv w:val="1"/>
      <w:marLeft w:val="0"/>
      <w:marRight w:val="0"/>
      <w:marTop w:val="0"/>
      <w:marBottom w:val="0"/>
      <w:divBdr>
        <w:top w:val="none" w:sz="0" w:space="0" w:color="auto"/>
        <w:left w:val="none" w:sz="0" w:space="0" w:color="auto"/>
        <w:bottom w:val="none" w:sz="0" w:space="0" w:color="auto"/>
        <w:right w:val="none" w:sz="0" w:space="0" w:color="auto"/>
      </w:divBdr>
    </w:div>
    <w:div w:id="506479760">
      <w:bodyDiv w:val="1"/>
      <w:marLeft w:val="0"/>
      <w:marRight w:val="0"/>
      <w:marTop w:val="0"/>
      <w:marBottom w:val="0"/>
      <w:divBdr>
        <w:top w:val="none" w:sz="0" w:space="0" w:color="auto"/>
        <w:left w:val="none" w:sz="0" w:space="0" w:color="auto"/>
        <w:bottom w:val="none" w:sz="0" w:space="0" w:color="auto"/>
        <w:right w:val="none" w:sz="0" w:space="0" w:color="auto"/>
      </w:divBdr>
    </w:div>
    <w:div w:id="675115190">
      <w:bodyDiv w:val="1"/>
      <w:marLeft w:val="0"/>
      <w:marRight w:val="0"/>
      <w:marTop w:val="0"/>
      <w:marBottom w:val="0"/>
      <w:divBdr>
        <w:top w:val="none" w:sz="0" w:space="0" w:color="auto"/>
        <w:left w:val="none" w:sz="0" w:space="0" w:color="auto"/>
        <w:bottom w:val="none" w:sz="0" w:space="0" w:color="auto"/>
        <w:right w:val="none" w:sz="0" w:space="0" w:color="auto"/>
      </w:divBdr>
      <w:divsChild>
        <w:div w:id="274680071">
          <w:marLeft w:val="0"/>
          <w:marRight w:val="0"/>
          <w:marTop w:val="0"/>
          <w:marBottom w:val="0"/>
          <w:divBdr>
            <w:top w:val="none" w:sz="0" w:space="0" w:color="auto"/>
            <w:left w:val="none" w:sz="0" w:space="0" w:color="auto"/>
            <w:bottom w:val="none" w:sz="0" w:space="0" w:color="auto"/>
            <w:right w:val="none" w:sz="0" w:space="0" w:color="auto"/>
          </w:divBdr>
          <w:divsChild>
            <w:div w:id="14520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964882">
      <w:bodyDiv w:val="1"/>
      <w:marLeft w:val="0"/>
      <w:marRight w:val="0"/>
      <w:marTop w:val="0"/>
      <w:marBottom w:val="0"/>
      <w:divBdr>
        <w:top w:val="none" w:sz="0" w:space="0" w:color="auto"/>
        <w:left w:val="none" w:sz="0" w:space="0" w:color="auto"/>
        <w:bottom w:val="none" w:sz="0" w:space="0" w:color="auto"/>
        <w:right w:val="none" w:sz="0" w:space="0" w:color="auto"/>
      </w:divBdr>
    </w:div>
    <w:div w:id="742261042">
      <w:bodyDiv w:val="1"/>
      <w:marLeft w:val="0"/>
      <w:marRight w:val="0"/>
      <w:marTop w:val="0"/>
      <w:marBottom w:val="0"/>
      <w:divBdr>
        <w:top w:val="none" w:sz="0" w:space="0" w:color="auto"/>
        <w:left w:val="none" w:sz="0" w:space="0" w:color="auto"/>
        <w:bottom w:val="none" w:sz="0" w:space="0" w:color="auto"/>
        <w:right w:val="none" w:sz="0" w:space="0" w:color="auto"/>
      </w:divBdr>
    </w:div>
    <w:div w:id="748161980">
      <w:bodyDiv w:val="1"/>
      <w:marLeft w:val="0"/>
      <w:marRight w:val="0"/>
      <w:marTop w:val="0"/>
      <w:marBottom w:val="0"/>
      <w:divBdr>
        <w:top w:val="none" w:sz="0" w:space="0" w:color="auto"/>
        <w:left w:val="none" w:sz="0" w:space="0" w:color="auto"/>
        <w:bottom w:val="none" w:sz="0" w:space="0" w:color="auto"/>
        <w:right w:val="none" w:sz="0" w:space="0" w:color="auto"/>
      </w:divBdr>
      <w:divsChild>
        <w:div w:id="1630240341">
          <w:marLeft w:val="0"/>
          <w:marRight w:val="0"/>
          <w:marTop w:val="0"/>
          <w:marBottom w:val="0"/>
          <w:divBdr>
            <w:top w:val="none" w:sz="0" w:space="0" w:color="auto"/>
            <w:left w:val="none" w:sz="0" w:space="0" w:color="auto"/>
            <w:bottom w:val="none" w:sz="0" w:space="0" w:color="auto"/>
            <w:right w:val="none" w:sz="0" w:space="0" w:color="auto"/>
          </w:divBdr>
        </w:div>
      </w:divsChild>
    </w:div>
    <w:div w:id="823201652">
      <w:bodyDiv w:val="1"/>
      <w:marLeft w:val="0"/>
      <w:marRight w:val="0"/>
      <w:marTop w:val="0"/>
      <w:marBottom w:val="0"/>
      <w:divBdr>
        <w:top w:val="none" w:sz="0" w:space="0" w:color="auto"/>
        <w:left w:val="none" w:sz="0" w:space="0" w:color="auto"/>
        <w:bottom w:val="none" w:sz="0" w:space="0" w:color="auto"/>
        <w:right w:val="none" w:sz="0" w:space="0" w:color="auto"/>
      </w:divBdr>
      <w:divsChild>
        <w:div w:id="1868636077">
          <w:marLeft w:val="0"/>
          <w:marRight w:val="0"/>
          <w:marTop w:val="0"/>
          <w:marBottom w:val="0"/>
          <w:divBdr>
            <w:top w:val="none" w:sz="0" w:space="0" w:color="auto"/>
            <w:left w:val="none" w:sz="0" w:space="0" w:color="auto"/>
            <w:bottom w:val="none" w:sz="0" w:space="0" w:color="auto"/>
            <w:right w:val="none" w:sz="0" w:space="0" w:color="auto"/>
          </w:divBdr>
        </w:div>
      </w:divsChild>
    </w:div>
    <w:div w:id="860553754">
      <w:bodyDiv w:val="1"/>
      <w:marLeft w:val="0"/>
      <w:marRight w:val="0"/>
      <w:marTop w:val="0"/>
      <w:marBottom w:val="0"/>
      <w:divBdr>
        <w:top w:val="none" w:sz="0" w:space="0" w:color="auto"/>
        <w:left w:val="none" w:sz="0" w:space="0" w:color="auto"/>
        <w:bottom w:val="none" w:sz="0" w:space="0" w:color="auto"/>
        <w:right w:val="none" w:sz="0" w:space="0" w:color="auto"/>
      </w:divBdr>
    </w:div>
    <w:div w:id="864296359">
      <w:bodyDiv w:val="1"/>
      <w:marLeft w:val="0"/>
      <w:marRight w:val="0"/>
      <w:marTop w:val="0"/>
      <w:marBottom w:val="0"/>
      <w:divBdr>
        <w:top w:val="none" w:sz="0" w:space="0" w:color="auto"/>
        <w:left w:val="none" w:sz="0" w:space="0" w:color="auto"/>
        <w:bottom w:val="none" w:sz="0" w:space="0" w:color="auto"/>
        <w:right w:val="none" w:sz="0" w:space="0" w:color="auto"/>
      </w:divBdr>
      <w:divsChild>
        <w:div w:id="941694005">
          <w:marLeft w:val="0"/>
          <w:marRight w:val="0"/>
          <w:marTop w:val="0"/>
          <w:marBottom w:val="0"/>
          <w:divBdr>
            <w:top w:val="none" w:sz="0" w:space="0" w:color="auto"/>
            <w:left w:val="none" w:sz="0" w:space="0" w:color="auto"/>
            <w:bottom w:val="none" w:sz="0" w:space="0" w:color="auto"/>
            <w:right w:val="none" w:sz="0" w:space="0" w:color="auto"/>
          </w:divBdr>
        </w:div>
      </w:divsChild>
    </w:div>
    <w:div w:id="933053985">
      <w:bodyDiv w:val="1"/>
      <w:marLeft w:val="0"/>
      <w:marRight w:val="0"/>
      <w:marTop w:val="0"/>
      <w:marBottom w:val="0"/>
      <w:divBdr>
        <w:top w:val="none" w:sz="0" w:space="0" w:color="auto"/>
        <w:left w:val="none" w:sz="0" w:space="0" w:color="auto"/>
        <w:bottom w:val="none" w:sz="0" w:space="0" w:color="auto"/>
        <w:right w:val="none" w:sz="0" w:space="0" w:color="auto"/>
      </w:divBdr>
      <w:divsChild>
        <w:div w:id="386804387">
          <w:marLeft w:val="0"/>
          <w:marRight w:val="0"/>
          <w:marTop w:val="0"/>
          <w:marBottom w:val="0"/>
          <w:divBdr>
            <w:top w:val="none" w:sz="0" w:space="0" w:color="auto"/>
            <w:left w:val="none" w:sz="0" w:space="0" w:color="auto"/>
            <w:bottom w:val="none" w:sz="0" w:space="0" w:color="auto"/>
            <w:right w:val="none" w:sz="0" w:space="0" w:color="auto"/>
          </w:divBdr>
          <w:divsChild>
            <w:div w:id="8972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873101">
      <w:bodyDiv w:val="1"/>
      <w:marLeft w:val="0"/>
      <w:marRight w:val="0"/>
      <w:marTop w:val="0"/>
      <w:marBottom w:val="0"/>
      <w:divBdr>
        <w:top w:val="none" w:sz="0" w:space="0" w:color="auto"/>
        <w:left w:val="none" w:sz="0" w:space="0" w:color="auto"/>
        <w:bottom w:val="none" w:sz="0" w:space="0" w:color="auto"/>
        <w:right w:val="none" w:sz="0" w:space="0" w:color="auto"/>
      </w:divBdr>
    </w:div>
    <w:div w:id="966741016">
      <w:bodyDiv w:val="1"/>
      <w:marLeft w:val="0"/>
      <w:marRight w:val="0"/>
      <w:marTop w:val="0"/>
      <w:marBottom w:val="0"/>
      <w:divBdr>
        <w:top w:val="none" w:sz="0" w:space="0" w:color="auto"/>
        <w:left w:val="none" w:sz="0" w:space="0" w:color="auto"/>
        <w:bottom w:val="none" w:sz="0" w:space="0" w:color="auto"/>
        <w:right w:val="none" w:sz="0" w:space="0" w:color="auto"/>
      </w:divBdr>
    </w:div>
    <w:div w:id="1040738838">
      <w:bodyDiv w:val="1"/>
      <w:marLeft w:val="0"/>
      <w:marRight w:val="0"/>
      <w:marTop w:val="0"/>
      <w:marBottom w:val="0"/>
      <w:divBdr>
        <w:top w:val="none" w:sz="0" w:space="0" w:color="auto"/>
        <w:left w:val="none" w:sz="0" w:space="0" w:color="auto"/>
        <w:bottom w:val="none" w:sz="0" w:space="0" w:color="auto"/>
        <w:right w:val="none" w:sz="0" w:space="0" w:color="auto"/>
      </w:divBdr>
      <w:divsChild>
        <w:div w:id="1694725039">
          <w:marLeft w:val="0"/>
          <w:marRight w:val="0"/>
          <w:marTop w:val="0"/>
          <w:marBottom w:val="0"/>
          <w:divBdr>
            <w:top w:val="none" w:sz="0" w:space="0" w:color="auto"/>
            <w:left w:val="none" w:sz="0" w:space="0" w:color="auto"/>
            <w:bottom w:val="none" w:sz="0" w:space="0" w:color="auto"/>
            <w:right w:val="none" w:sz="0" w:space="0" w:color="auto"/>
          </w:divBdr>
        </w:div>
      </w:divsChild>
    </w:div>
    <w:div w:id="1114207528">
      <w:bodyDiv w:val="1"/>
      <w:marLeft w:val="0"/>
      <w:marRight w:val="0"/>
      <w:marTop w:val="0"/>
      <w:marBottom w:val="0"/>
      <w:divBdr>
        <w:top w:val="none" w:sz="0" w:space="0" w:color="auto"/>
        <w:left w:val="none" w:sz="0" w:space="0" w:color="auto"/>
        <w:bottom w:val="none" w:sz="0" w:space="0" w:color="auto"/>
        <w:right w:val="none" w:sz="0" w:space="0" w:color="auto"/>
      </w:divBdr>
    </w:div>
    <w:div w:id="1179008074">
      <w:bodyDiv w:val="1"/>
      <w:marLeft w:val="0"/>
      <w:marRight w:val="0"/>
      <w:marTop w:val="0"/>
      <w:marBottom w:val="0"/>
      <w:divBdr>
        <w:top w:val="none" w:sz="0" w:space="0" w:color="auto"/>
        <w:left w:val="none" w:sz="0" w:space="0" w:color="auto"/>
        <w:bottom w:val="none" w:sz="0" w:space="0" w:color="auto"/>
        <w:right w:val="none" w:sz="0" w:space="0" w:color="auto"/>
      </w:divBdr>
    </w:div>
    <w:div w:id="1205101535">
      <w:bodyDiv w:val="1"/>
      <w:marLeft w:val="0"/>
      <w:marRight w:val="0"/>
      <w:marTop w:val="0"/>
      <w:marBottom w:val="0"/>
      <w:divBdr>
        <w:top w:val="none" w:sz="0" w:space="0" w:color="auto"/>
        <w:left w:val="none" w:sz="0" w:space="0" w:color="auto"/>
        <w:bottom w:val="none" w:sz="0" w:space="0" w:color="auto"/>
        <w:right w:val="none" w:sz="0" w:space="0" w:color="auto"/>
      </w:divBdr>
      <w:divsChild>
        <w:div w:id="1771461470">
          <w:marLeft w:val="0"/>
          <w:marRight w:val="0"/>
          <w:marTop w:val="0"/>
          <w:marBottom w:val="0"/>
          <w:divBdr>
            <w:top w:val="none" w:sz="0" w:space="0" w:color="auto"/>
            <w:left w:val="none" w:sz="0" w:space="0" w:color="auto"/>
            <w:bottom w:val="none" w:sz="0" w:space="0" w:color="auto"/>
            <w:right w:val="none" w:sz="0" w:space="0" w:color="auto"/>
          </w:divBdr>
        </w:div>
      </w:divsChild>
    </w:div>
    <w:div w:id="1294795104">
      <w:bodyDiv w:val="1"/>
      <w:marLeft w:val="0"/>
      <w:marRight w:val="0"/>
      <w:marTop w:val="0"/>
      <w:marBottom w:val="0"/>
      <w:divBdr>
        <w:top w:val="none" w:sz="0" w:space="0" w:color="auto"/>
        <w:left w:val="none" w:sz="0" w:space="0" w:color="auto"/>
        <w:bottom w:val="none" w:sz="0" w:space="0" w:color="auto"/>
        <w:right w:val="none" w:sz="0" w:space="0" w:color="auto"/>
      </w:divBdr>
    </w:div>
    <w:div w:id="1310131921">
      <w:bodyDiv w:val="1"/>
      <w:marLeft w:val="0"/>
      <w:marRight w:val="0"/>
      <w:marTop w:val="0"/>
      <w:marBottom w:val="0"/>
      <w:divBdr>
        <w:top w:val="none" w:sz="0" w:space="0" w:color="auto"/>
        <w:left w:val="none" w:sz="0" w:space="0" w:color="auto"/>
        <w:bottom w:val="none" w:sz="0" w:space="0" w:color="auto"/>
        <w:right w:val="none" w:sz="0" w:space="0" w:color="auto"/>
      </w:divBdr>
    </w:div>
    <w:div w:id="1396271136">
      <w:bodyDiv w:val="1"/>
      <w:marLeft w:val="0"/>
      <w:marRight w:val="0"/>
      <w:marTop w:val="0"/>
      <w:marBottom w:val="0"/>
      <w:divBdr>
        <w:top w:val="none" w:sz="0" w:space="0" w:color="auto"/>
        <w:left w:val="none" w:sz="0" w:space="0" w:color="auto"/>
        <w:bottom w:val="none" w:sz="0" w:space="0" w:color="auto"/>
        <w:right w:val="none" w:sz="0" w:space="0" w:color="auto"/>
      </w:divBdr>
    </w:div>
    <w:div w:id="1452892673">
      <w:bodyDiv w:val="1"/>
      <w:marLeft w:val="0"/>
      <w:marRight w:val="0"/>
      <w:marTop w:val="0"/>
      <w:marBottom w:val="0"/>
      <w:divBdr>
        <w:top w:val="none" w:sz="0" w:space="0" w:color="auto"/>
        <w:left w:val="none" w:sz="0" w:space="0" w:color="auto"/>
        <w:bottom w:val="none" w:sz="0" w:space="0" w:color="auto"/>
        <w:right w:val="none" w:sz="0" w:space="0" w:color="auto"/>
      </w:divBdr>
    </w:div>
    <w:div w:id="1473906440">
      <w:bodyDiv w:val="1"/>
      <w:marLeft w:val="0"/>
      <w:marRight w:val="0"/>
      <w:marTop w:val="0"/>
      <w:marBottom w:val="0"/>
      <w:divBdr>
        <w:top w:val="none" w:sz="0" w:space="0" w:color="auto"/>
        <w:left w:val="none" w:sz="0" w:space="0" w:color="auto"/>
        <w:bottom w:val="none" w:sz="0" w:space="0" w:color="auto"/>
        <w:right w:val="none" w:sz="0" w:space="0" w:color="auto"/>
      </w:divBdr>
    </w:div>
    <w:div w:id="1476945713">
      <w:bodyDiv w:val="1"/>
      <w:marLeft w:val="0"/>
      <w:marRight w:val="0"/>
      <w:marTop w:val="0"/>
      <w:marBottom w:val="0"/>
      <w:divBdr>
        <w:top w:val="none" w:sz="0" w:space="0" w:color="auto"/>
        <w:left w:val="none" w:sz="0" w:space="0" w:color="auto"/>
        <w:bottom w:val="none" w:sz="0" w:space="0" w:color="auto"/>
        <w:right w:val="none" w:sz="0" w:space="0" w:color="auto"/>
      </w:divBdr>
    </w:div>
    <w:div w:id="1534340934">
      <w:bodyDiv w:val="1"/>
      <w:marLeft w:val="0"/>
      <w:marRight w:val="0"/>
      <w:marTop w:val="0"/>
      <w:marBottom w:val="0"/>
      <w:divBdr>
        <w:top w:val="none" w:sz="0" w:space="0" w:color="auto"/>
        <w:left w:val="none" w:sz="0" w:space="0" w:color="auto"/>
        <w:bottom w:val="none" w:sz="0" w:space="0" w:color="auto"/>
        <w:right w:val="none" w:sz="0" w:space="0" w:color="auto"/>
      </w:divBdr>
    </w:div>
    <w:div w:id="1548762953">
      <w:bodyDiv w:val="1"/>
      <w:marLeft w:val="0"/>
      <w:marRight w:val="0"/>
      <w:marTop w:val="0"/>
      <w:marBottom w:val="0"/>
      <w:divBdr>
        <w:top w:val="none" w:sz="0" w:space="0" w:color="auto"/>
        <w:left w:val="none" w:sz="0" w:space="0" w:color="auto"/>
        <w:bottom w:val="none" w:sz="0" w:space="0" w:color="auto"/>
        <w:right w:val="none" w:sz="0" w:space="0" w:color="auto"/>
      </w:divBdr>
    </w:div>
    <w:div w:id="1711877607">
      <w:bodyDiv w:val="1"/>
      <w:marLeft w:val="0"/>
      <w:marRight w:val="0"/>
      <w:marTop w:val="0"/>
      <w:marBottom w:val="0"/>
      <w:divBdr>
        <w:top w:val="none" w:sz="0" w:space="0" w:color="auto"/>
        <w:left w:val="none" w:sz="0" w:space="0" w:color="auto"/>
        <w:bottom w:val="none" w:sz="0" w:space="0" w:color="auto"/>
        <w:right w:val="none" w:sz="0" w:space="0" w:color="auto"/>
      </w:divBdr>
    </w:div>
    <w:div w:id="1790124780">
      <w:bodyDiv w:val="1"/>
      <w:marLeft w:val="0"/>
      <w:marRight w:val="0"/>
      <w:marTop w:val="0"/>
      <w:marBottom w:val="0"/>
      <w:divBdr>
        <w:top w:val="none" w:sz="0" w:space="0" w:color="auto"/>
        <w:left w:val="none" w:sz="0" w:space="0" w:color="auto"/>
        <w:bottom w:val="none" w:sz="0" w:space="0" w:color="auto"/>
        <w:right w:val="none" w:sz="0" w:space="0" w:color="auto"/>
      </w:divBdr>
    </w:div>
    <w:div w:id="1827895814">
      <w:bodyDiv w:val="1"/>
      <w:marLeft w:val="0"/>
      <w:marRight w:val="0"/>
      <w:marTop w:val="0"/>
      <w:marBottom w:val="0"/>
      <w:divBdr>
        <w:top w:val="none" w:sz="0" w:space="0" w:color="auto"/>
        <w:left w:val="none" w:sz="0" w:space="0" w:color="auto"/>
        <w:bottom w:val="none" w:sz="0" w:space="0" w:color="auto"/>
        <w:right w:val="none" w:sz="0" w:space="0" w:color="auto"/>
      </w:divBdr>
    </w:div>
    <w:div w:id="1836263605">
      <w:bodyDiv w:val="1"/>
      <w:marLeft w:val="0"/>
      <w:marRight w:val="0"/>
      <w:marTop w:val="0"/>
      <w:marBottom w:val="0"/>
      <w:divBdr>
        <w:top w:val="none" w:sz="0" w:space="0" w:color="auto"/>
        <w:left w:val="none" w:sz="0" w:space="0" w:color="auto"/>
        <w:bottom w:val="none" w:sz="0" w:space="0" w:color="auto"/>
        <w:right w:val="none" w:sz="0" w:space="0" w:color="auto"/>
      </w:divBdr>
    </w:div>
    <w:div w:id="1848052532">
      <w:bodyDiv w:val="1"/>
      <w:marLeft w:val="0"/>
      <w:marRight w:val="0"/>
      <w:marTop w:val="0"/>
      <w:marBottom w:val="0"/>
      <w:divBdr>
        <w:top w:val="none" w:sz="0" w:space="0" w:color="auto"/>
        <w:left w:val="none" w:sz="0" w:space="0" w:color="auto"/>
        <w:bottom w:val="none" w:sz="0" w:space="0" w:color="auto"/>
        <w:right w:val="none" w:sz="0" w:space="0" w:color="auto"/>
      </w:divBdr>
    </w:div>
    <w:div w:id="1910650899">
      <w:bodyDiv w:val="1"/>
      <w:marLeft w:val="0"/>
      <w:marRight w:val="0"/>
      <w:marTop w:val="0"/>
      <w:marBottom w:val="0"/>
      <w:divBdr>
        <w:top w:val="none" w:sz="0" w:space="0" w:color="auto"/>
        <w:left w:val="none" w:sz="0" w:space="0" w:color="auto"/>
        <w:bottom w:val="none" w:sz="0" w:space="0" w:color="auto"/>
        <w:right w:val="none" w:sz="0" w:space="0" w:color="auto"/>
      </w:divBdr>
    </w:div>
    <w:div w:id="2066293817">
      <w:bodyDiv w:val="1"/>
      <w:marLeft w:val="0"/>
      <w:marRight w:val="0"/>
      <w:marTop w:val="0"/>
      <w:marBottom w:val="0"/>
      <w:divBdr>
        <w:top w:val="none" w:sz="0" w:space="0" w:color="auto"/>
        <w:left w:val="none" w:sz="0" w:space="0" w:color="auto"/>
        <w:bottom w:val="none" w:sz="0" w:space="0" w:color="auto"/>
        <w:right w:val="none" w:sz="0" w:space="0" w:color="auto"/>
      </w:divBdr>
    </w:div>
    <w:div w:id="208340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5</Pages>
  <Words>1135</Words>
  <Characters>6470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Murti</dc:creator>
  <cp:keywords/>
  <dc:description/>
  <cp:lastModifiedBy>Krishna Murti</cp:lastModifiedBy>
  <cp:revision>729</cp:revision>
  <dcterms:created xsi:type="dcterms:W3CDTF">2025-01-22T21:10:00Z</dcterms:created>
  <dcterms:modified xsi:type="dcterms:W3CDTF">2026-03-16T01:46:00Z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d870ab6c-f34b-4199-a3d7-eebff2bd4e65</vt:lpwstr>
  </property>
</Properties>
</file>